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87" w:rsidRDefault="00451F1A" w:rsidP="0011179C">
      <w:pPr>
        <w:ind w:left="284"/>
        <w:jc w:val="both"/>
        <w:rPr>
          <w:rFonts w:ascii="Garamond" w:hAnsi="Garamond" w:cs="Arial"/>
          <w:u w:val="single"/>
        </w:rPr>
      </w:pPr>
      <w:r>
        <w:rPr>
          <w:rFonts w:ascii="Garamond" w:hAnsi="Garamond" w:cs="Arial"/>
          <w:u w:val="single"/>
        </w:rPr>
        <w:t>COMUNICATO N.</w:t>
      </w:r>
      <w:r w:rsidR="001A270E">
        <w:rPr>
          <w:rFonts w:ascii="Garamond" w:hAnsi="Garamond" w:cs="Arial"/>
          <w:u w:val="single"/>
        </w:rPr>
        <w:t>89</w:t>
      </w:r>
      <w:r w:rsidR="00F628C5">
        <w:rPr>
          <w:rFonts w:ascii="Garamond" w:hAnsi="Garamond" w:cs="Arial"/>
          <w:u w:val="single"/>
        </w:rPr>
        <w:t>_all_1</w:t>
      </w:r>
      <w:r w:rsidR="00AD104C" w:rsidRPr="00315F7F">
        <w:rPr>
          <w:rFonts w:ascii="Garamond" w:hAnsi="Garamond" w:cs="Arial"/>
          <w:u w:val="single"/>
        </w:rPr>
        <w:t>/2015</w:t>
      </w:r>
    </w:p>
    <w:p w:rsidR="001C4187" w:rsidRDefault="001C4187" w:rsidP="001C4187">
      <w:pPr>
        <w:jc w:val="both"/>
        <w:rPr>
          <w:rFonts w:ascii="Garamond" w:hAnsi="Garamond" w:cs="Arial"/>
          <w:u w:val="single"/>
        </w:rPr>
      </w:pPr>
    </w:p>
    <w:p w:rsidR="000024C3" w:rsidRDefault="000024C3" w:rsidP="001C4187">
      <w:pPr>
        <w:jc w:val="both"/>
        <w:rPr>
          <w:rFonts w:ascii="Garamond" w:hAnsi="Garamond" w:cs="Arial"/>
          <w:u w:val="single"/>
        </w:rPr>
      </w:pPr>
    </w:p>
    <w:p w:rsidR="00C40319" w:rsidRDefault="00C40319" w:rsidP="001A270E">
      <w:pPr>
        <w:ind w:left="284" w:right="425"/>
        <w:jc w:val="center"/>
        <w:rPr>
          <w:rFonts w:ascii="Garamond" w:hAnsi="Garamond"/>
        </w:rPr>
      </w:pPr>
    </w:p>
    <w:p w:rsidR="00F628C5" w:rsidRPr="00F628C5" w:rsidRDefault="00F628C5" w:rsidP="00F628C5">
      <w:pPr>
        <w:widowControl w:val="0"/>
        <w:autoSpaceDE w:val="0"/>
        <w:autoSpaceDN w:val="0"/>
        <w:adjustRightInd w:val="0"/>
        <w:jc w:val="center"/>
        <w:rPr>
          <w:rFonts w:ascii="Garamond" w:hAnsi="Garamond" w:cs="Arial"/>
          <w:b/>
          <w:color w:val="1A1A1A"/>
          <w:sz w:val="32"/>
          <w:szCs w:val="26"/>
        </w:rPr>
      </w:pPr>
      <w:r w:rsidRPr="00F628C5">
        <w:rPr>
          <w:rFonts w:ascii="Garamond" w:hAnsi="Garamond" w:cs="Arial"/>
          <w:b/>
          <w:color w:val="1A1A1A"/>
          <w:sz w:val="32"/>
          <w:szCs w:val="26"/>
        </w:rPr>
        <w:t>“Cibo di guerra”</w:t>
      </w:r>
    </w:p>
    <w:p w:rsidR="00F628C5" w:rsidRPr="00F628C5" w:rsidRDefault="00F628C5" w:rsidP="00F628C5">
      <w:pPr>
        <w:widowControl w:val="0"/>
        <w:autoSpaceDE w:val="0"/>
        <w:autoSpaceDN w:val="0"/>
        <w:adjustRightInd w:val="0"/>
        <w:jc w:val="center"/>
        <w:rPr>
          <w:rFonts w:ascii="Garamond" w:hAnsi="Garamond" w:cs="Arial"/>
          <w:b/>
          <w:color w:val="1A1A1A"/>
          <w:sz w:val="32"/>
          <w:szCs w:val="26"/>
        </w:rPr>
      </w:pPr>
      <w:r w:rsidRPr="00F628C5">
        <w:rPr>
          <w:rFonts w:ascii="Garamond" w:hAnsi="Garamond" w:cs="Arial"/>
          <w:b/>
          <w:color w:val="1A1A1A"/>
          <w:sz w:val="32"/>
          <w:szCs w:val="26"/>
        </w:rPr>
        <w:t>V rapporto sui conflitti dimenticati</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D44DD6">
        <w:rPr>
          <w:rFonts w:ascii="Garamond" w:hAnsi="Garamond" w:cs="Arial"/>
          <w:b/>
          <w:color w:val="1A1A1A"/>
          <w:szCs w:val="26"/>
        </w:rPr>
        <w:t>Milano, 11 settembre 2015</w:t>
      </w:r>
      <w:r w:rsidRPr="00F628C5">
        <w:rPr>
          <w:rFonts w:ascii="Garamond" w:hAnsi="Garamond" w:cs="Arial"/>
          <w:color w:val="1A1A1A"/>
          <w:szCs w:val="26"/>
        </w:rPr>
        <w:t xml:space="preserve"> – </w:t>
      </w:r>
      <w:r w:rsidRPr="00F628C5">
        <w:rPr>
          <w:rFonts w:ascii="Garamond" w:hAnsi="Garamond" w:cs="Arial"/>
          <w:b/>
          <w:color w:val="1A1A1A"/>
          <w:szCs w:val="26"/>
        </w:rPr>
        <w:t>“Cibo di guerra”</w:t>
      </w:r>
      <w:r w:rsidRPr="00F628C5">
        <w:rPr>
          <w:rFonts w:ascii="Garamond" w:hAnsi="Garamond" w:cs="Arial"/>
          <w:color w:val="1A1A1A"/>
          <w:szCs w:val="26"/>
        </w:rPr>
        <w:t xml:space="preserve"> è il nuovo rapporto di ricerca sui conflitti dimenticati, pubblicato da Caritas Italiana in collaborazione con Famiglia Cristiana e Il Regno ed edito da Il Mulino. Fame, aiuti alimentari, terreni accaparrati, giochi di borsa: sono cause o effetti delle guerre?</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Si approfondiscono risposte e piste d’indagine, in un quadro di crescente influsso delle guerre contemporanee, che sempre più spesso ci toccano da vicino, se non altro tramite le vicende e i racconti di ondate di profughi. Cibo di guerra non si limita al problema del ciclo perverso che conduce alla disperazione chi si trova coinvolto in una guerra. Indaga anche i legami inversi, che dalla povertà estrema portano alla conflittualità violenta. E studia le dinamiche che strumentalizzano le persone e i loro bisogni primari nella costruzione della violenza, rendendoli di fatto “cibo di guerra”.</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Dopo anni di segno positivo, gli indicatori che misurano il grado di “</w:t>
      </w:r>
      <w:proofErr w:type="spellStart"/>
      <w:r w:rsidRPr="00F628C5">
        <w:rPr>
          <w:rFonts w:ascii="Garamond" w:hAnsi="Garamond" w:cs="Arial"/>
          <w:color w:val="1A1A1A"/>
          <w:szCs w:val="26"/>
        </w:rPr>
        <w:t>pacificità</w:t>
      </w:r>
      <w:proofErr w:type="spellEnd"/>
      <w:r w:rsidRPr="00F628C5">
        <w:rPr>
          <w:rFonts w:ascii="Garamond" w:hAnsi="Garamond" w:cs="Arial"/>
          <w:color w:val="1A1A1A"/>
          <w:szCs w:val="26"/>
        </w:rPr>
        <w:t xml:space="preserve">” del pianeta iniziano infatti a puntare verso il basso. L’intensità di buona parte dei conflitti </w:t>
      </w:r>
      <w:proofErr w:type="spellStart"/>
      <w:r w:rsidRPr="00F628C5">
        <w:rPr>
          <w:rFonts w:ascii="Garamond" w:hAnsi="Garamond" w:cs="Arial"/>
          <w:color w:val="1A1A1A"/>
          <w:szCs w:val="26"/>
        </w:rPr>
        <w:t>intra-statali</w:t>
      </w:r>
      <w:proofErr w:type="spellEnd"/>
      <w:r w:rsidRPr="00F628C5">
        <w:rPr>
          <w:rFonts w:ascii="Garamond" w:hAnsi="Garamond" w:cs="Arial"/>
          <w:color w:val="1A1A1A"/>
          <w:szCs w:val="26"/>
        </w:rPr>
        <w:t xml:space="preserve"> combattuti a diverse latitudini del pianeta sta infatti aumentando di livello, con un significativo coinvolgimento della popolazione civile e un crescente ricorso all’impiego di tattiche tipiche dell’azione terroristica. Si stima che </w:t>
      </w:r>
      <w:r w:rsidRPr="00F628C5">
        <w:rPr>
          <w:rFonts w:ascii="Garamond" w:hAnsi="Garamond" w:cs="Arial"/>
          <w:b/>
          <w:color w:val="1A1A1A"/>
          <w:szCs w:val="26"/>
        </w:rPr>
        <w:t xml:space="preserve">le vittime di attacchi terroristici </w:t>
      </w:r>
      <w:proofErr w:type="spellStart"/>
      <w:r w:rsidRPr="00F628C5">
        <w:rPr>
          <w:rFonts w:ascii="Garamond" w:hAnsi="Garamond" w:cs="Arial"/>
          <w:b/>
          <w:color w:val="1A1A1A"/>
          <w:szCs w:val="26"/>
        </w:rPr>
        <w:t>jihadisti</w:t>
      </w:r>
      <w:proofErr w:type="spellEnd"/>
      <w:r w:rsidRPr="00F628C5">
        <w:rPr>
          <w:rFonts w:ascii="Garamond" w:hAnsi="Garamond" w:cs="Arial"/>
          <w:b/>
          <w:color w:val="1A1A1A"/>
          <w:szCs w:val="26"/>
        </w:rPr>
        <w:t xml:space="preserve"> siano quintuplicate negli ultimi quindici anni</w:t>
      </w:r>
      <w:r w:rsidRPr="00F628C5">
        <w:rPr>
          <w:rFonts w:ascii="Garamond" w:hAnsi="Garamond" w:cs="Arial"/>
          <w:color w:val="1A1A1A"/>
          <w:szCs w:val="26"/>
        </w:rPr>
        <w:t xml:space="preserve">, concentrandosi </w:t>
      </w:r>
      <w:r w:rsidRPr="00F628C5">
        <w:rPr>
          <w:rFonts w:ascii="Garamond" w:hAnsi="Garamond" w:cs="Arial"/>
          <w:b/>
          <w:color w:val="1A1A1A"/>
          <w:szCs w:val="26"/>
        </w:rPr>
        <w:t>per il 95% per cento in paesi non Ocse (ovvero in via di sviluppo</w:t>
      </w:r>
      <w:r w:rsidRPr="00F628C5">
        <w:rPr>
          <w:rFonts w:ascii="Garamond" w:hAnsi="Garamond" w:cs="Arial"/>
          <w:color w:val="1A1A1A"/>
          <w:szCs w:val="26"/>
        </w:rPr>
        <w:t xml:space="preserve">). </w:t>
      </w:r>
      <w:r w:rsidRPr="00F628C5">
        <w:rPr>
          <w:rFonts w:ascii="Garamond" w:hAnsi="Garamond" w:cs="Arial"/>
          <w:b/>
          <w:color w:val="1A1A1A"/>
          <w:szCs w:val="26"/>
        </w:rPr>
        <w:t>La gran parte degli attacchi, negli ultimi anni, ha avuto luogo in cinque paesi: Iraq, Siria, Afghanistan, Pakistan e Nigeria,</w:t>
      </w:r>
      <w:r w:rsidRPr="00F628C5">
        <w:rPr>
          <w:rFonts w:ascii="Garamond" w:hAnsi="Garamond" w:cs="Arial"/>
          <w:color w:val="1A1A1A"/>
          <w:szCs w:val="26"/>
        </w:rPr>
        <w:t xml:space="preserve"> coinvolgendo sempre di più scuole e università, giovani studenti, civili inermi e innocenti.</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 xml:space="preserve">Più in generale nei vari conflitti, nell’ultimo decennio, </w:t>
      </w:r>
      <w:r w:rsidRPr="00F628C5">
        <w:rPr>
          <w:rFonts w:ascii="Garamond" w:hAnsi="Garamond" w:cs="Arial"/>
          <w:b/>
          <w:color w:val="1A1A1A"/>
          <w:szCs w:val="26"/>
        </w:rPr>
        <w:t>si è passati da una media di 21 mila a 38 mila morti annui</w:t>
      </w:r>
      <w:r w:rsidRPr="00F628C5">
        <w:rPr>
          <w:rFonts w:ascii="Garamond" w:hAnsi="Garamond" w:cs="Arial"/>
          <w:color w:val="1A1A1A"/>
          <w:szCs w:val="26"/>
        </w:rPr>
        <w:t xml:space="preserve">. </w:t>
      </w:r>
      <w:r w:rsidRPr="00F628C5">
        <w:rPr>
          <w:rFonts w:ascii="Garamond" w:hAnsi="Garamond" w:cs="Arial"/>
          <w:b/>
          <w:color w:val="1A1A1A"/>
          <w:szCs w:val="26"/>
        </w:rPr>
        <w:t>Africa e Asia sono i continenti maggiormente instabili a livello globale</w:t>
      </w:r>
      <w:r w:rsidRPr="00F628C5">
        <w:rPr>
          <w:rFonts w:ascii="Garamond" w:hAnsi="Garamond" w:cs="Arial"/>
          <w:color w:val="1A1A1A"/>
          <w:szCs w:val="26"/>
        </w:rPr>
        <w:t>. In essi la mancanza di cibo e le guerre si intersecano in un mix letale, con l’inevitabile riflesso migratorio su scala planetaria.</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b/>
          <w:color w:val="1A1A1A"/>
          <w:szCs w:val="26"/>
        </w:rPr>
      </w:pPr>
      <w:r w:rsidRPr="00F628C5">
        <w:rPr>
          <w:rFonts w:ascii="Garamond" w:hAnsi="Garamond" w:cs="Arial"/>
          <w:b/>
          <w:color w:val="1A1A1A"/>
          <w:szCs w:val="26"/>
        </w:rPr>
        <w:t xml:space="preserve">Le guerre di “massima intensità” nel mondo sono tutte a carattere </w:t>
      </w:r>
      <w:proofErr w:type="spellStart"/>
      <w:r w:rsidRPr="00F628C5">
        <w:rPr>
          <w:rFonts w:ascii="Garamond" w:hAnsi="Garamond" w:cs="Arial"/>
          <w:b/>
          <w:color w:val="1A1A1A"/>
          <w:szCs w:val="26"/>
        </w:rPr>
        <w:t>intrastatale</w:t>
      </w:r>
      <w:proofErr w:type="spellEnd"/>
      <w:r w:rsidRPr="00F628C5">
        <w:rPr>
          <w:rFonts w:ascii="Garamond" w:hAnsi="Garamond" w:cs="Arial"/>
          <w:color w:val="1A1A1A"/>
          <w:szCs w:val="26"/>
        </w:rPr>
        <w:t xml:space="preserve"> e </w:t>
      </w:r>
      <w:r w:rsidRPr="00F628C5">
        <w:rPr>
          <w:rFonts w:ascii="Garamond" w:hAnsi="Garamond" w:cs="Arial"/>
          <w:b/>
          <w:color w:val="1A1A1A"/>
          <w:szCs w:val="26"/>
        </w:rPr>
        <w:t>coinvolgono un numero crescente di paesi</w:t>
      </w:r>
      <w:r w:rsidRPr="00F628C5">
        <w:rPr>
          <w:rFonts w:ascii="Garamond" w:hAnsi="Garamond" w:cs="Arial"/>
          <w:color w:val="1A1A1A"/>
          <w:szCs w:val="26"/>
        </w:rPr>
        <w:t xml:space="preserve"> (fa eccezione il conflitto tra India e Pakistan, relativo alla situazione nel Kashmir). Si tratta però in realtà della punta di un iceberg, se si considerano anche i numerosi conflitti di “media” e “bassa intensità”.</w:t>
      </w:r>
      <w:r w:rsidRPr="00F628C5">
        <w:rPr>
          <w:rFonts w:ascii="Garamond" w:hAnsi="Garamond" w:cs="Arial"/>
          <w:b/>
          <w:color w:val="1A1A1A"/>
          <w:szCs w:val="26"/>
        </w:rPr>
        <w:t>In ogni caso le guerre hanno comunque sempre “maschere”, che spesso vengono confuse con le cause del conflitto stesso. Attualmente ad esempio prevale quella religiosa.</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 xml:space="preserve">La quinta ricerca sui conflitti dimenticati smonta tali tesi, rilanciando l’importanza di un rinnovato sforzo culturale, di un ruolo formativo ed educativo da esercitarsi a ogni livello per decostruire ogni prefabbricato ideologico, basato su fondamenta tanto fragili quanto irreali. Un tale ruolo va associato a un serio impegno di lobby e </w:t>
      </w:r>
      <w:proofErr w:type="spellStart"/>
      <w:r w:rsidRPr="00F628C5">
        <w:rPr>
          <w:rFonts w:ascii="Garamond" w:hAnsi="Garamond" w:cs="Arial"/>
          <w:color w:val="1A1A1A"/>
          <w:szCs w:val="26"/>
        </w:rPr>
        <w:t>advocacy</w:t>
      </w:r>
      <w:proofErr w:type="spellEnd"/>
      <w:r w:rsidRPr="00F628C5">
        <w:rPr>
          <w:rFonts w:ascii="Garamond" w:hAnsi="Garamond" w:cs="Arial"/>
          <w:color w:val="1A1A1A"/>
          <w:szCs w:val="26"/>
        </w:rPr>
        <w:t>, in primo luogo nei confronti della comunità internazionale, affinché non si faccia abbagliare da derive demagogiche e populiste. E va completato con l’ampio rilancio di ogni azione volta a stringere legami di cooperazione e solidarietà internazionale, aperti all’accoglienza di nuove ondate di profughi, anch’essi “cibo di guerra”, strumentalizzati per fare pressione a distanza su leader miopi e opinioni pubbliche labili e manipolate.</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Nella seconda parte del volume vengono presentati i principali risultati di due rilevazioni sul campo. La prima riguarda uno studio sulla presenza e le storie di vita delle persone in fuga dalla guerra, accolte nelle chiese locali, grazie anche al circuito delle Caritas. La sezione quantitativa è stata realizzata su un campione di centri di ascolto in 50 diocesi, mentre la sezione qualitativa si basa su 25 storie di persone prese in carico nelle diocesi di Bari, Lodi, Mazara del Vallo, Roma e Udine.</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 xml:space="preserve">La seconda rilevazione ha come tema l’uso dei “video di guerra” nei canali tematici di </w:t>
      </w:r>
      <w:proofErr w:type="spellStart"/>
      <w:r w:rsidRPr="00F628C5">
        <w:rPr>
          <w:rFonts w:ascii="Garamond" w:hAnsi="Garamond" w:cs="Arial"/>
          <w:color w:val="1A1A1A"/>
          <w:szCs w:val="26"/>
        </w:rPr>
        <w:t>Youtube</w:t>
      </w:r>
      <w:proofErr w:type="spellEnd"/>
      <w:r w:rsidRPr="00F628C5">
        <w:rPr>
          <w:rFonts w:ascii="Garamond" w:hAnsi="Garamond" w:cs="Arial"/>
          <w:color w:val="1A1A1A"/>
          <w:szCs w:val="26"/>
        </w:rPr>
        <w:t xml:space="preserve">. Si tratta del primo studio su tale aspetto condotto dall’osservatorio sui conflitti dimenticati, che ha sempre dedicato grande attenzione alla dimensione della comunicazione sociale: la carta stampata, quotidiana e periodica, i social network, </w:t>
      </w:r>
      <w:proofErr w:type="spellStart"/>
      <w:r w:rsidRPr="00F628C5">
        <w:rPr>
          <w:rFonts w:ascii="Garamond" w:hAnsi="Garamond" w:cs="Arial"/>
          <w:color w:val="1A1A1A"/>
          <w:szCs w:val="26"/>
        </w:rPr>
        <w:t>Facebook</w:t>
      </w:r>
      <w:proofErr w:type="spellEnd"/>
      <w:r w:rsidRPr="00F628C5">
        <w:rPr>
          <w:rFonts w:ascii="Garamond" w:hAnsi="Garamond" w:cs="Arial"/>
          <w:color w:val="1A1A1A"/>
          <w:szCs w:val="26"/>
        </w:rPr>
        <w:t xml:space="preserve"> e </w:t>
      </w:r>
      <w:proofErr w:type="spellStart"/>
      <w:r w:rsidRPr="00F628C5">
        <w:rPr>
          <w:rFonts w:ascii="Garamond" w:hAnsi="Garamond" w:cs="Arial"/>
          <w:color w:val="1A1A1A"/>
          <w:szCs w:val="26"/>
        </w:rPr>
        <w:t>Twitter</w:t>
      </w:r>
      <w:proofErr w:type="spellEnd"/>
      <w:r w:rsidRPr="00F628C5">
        <w:rPr>
          <w:rFonts w:ascii="Garamond" w:hAnsi="Garamond" w:cs="Arial"/>
          <w:color w:val="1A1A1A"/>
          <w:szCs w:val="26"/>
        </w:rPr>
        <w:t xml:space="preserve"> in primis, ma anche televisione e radio.</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b/>
          <w:color w:val="1A1A1A"/>
          <w:szCs w:val="26"/>
        </w:rPr>
        <w:t xml:space="preserve">La ricerca si è concentrata sui contenuti video pubblicati su </w:t>
      </w:r>
      <w:proofErr w:type="spellStart"/>
      <w:r w:rsidRPr="00F628C5">
        <w:rPr>
          <w:rFonts w:ascii="Garamond" w:hAnsi="Garamond" w:cs="Arial"/>
          <w:b/>
          <w:color w:val="1A1A1A"/>
          <w:szCs w:val="26"/>
        </w:rPr>
        <w:t>YouTube</w:t>
      </w:r>
      <w:proofErr w:type="spellEnd"/>
      <w:r w:rsidRPr="00F628C5">
        <w:rPr>
          <w:rFonts w:ascii="Garamond" w:hAnsi="Garamond" w:cs="Arial"/>
          <w:b/>
          <w:color w:val="1A1A1A"/>
          <w:szCs w:val="26"/>
        </w:rPr>
        <w:t xml:space="preserve"> da Russia </w:t>
      </w:r>
      <w:proofErr w:type="spellStart"/>
      <w:r w:rsidRPr="00F628C5">
        <w:rPr>
          <w:rFonts w:ascii="Garamond" w:hAnsi="Garamond" w:cs="Arial"/>
          <w:b/>
          <w:color w:val="1A1A1A"/>
          <w:szCs w:val="26"/>
        </w:rPr>
        <w:t>Today</w:t>
      </w:r>
      <w:proofErr w:type="spellEnd"/>
      <w:r w:rsidRPr="00F628C5">
        <w:rPr>
          <w:rFonts w:ascii="Garamond" w:hAnsi="Garamond" w:cs="Arial"/>
          <w:b/>
          <w:color w:val="1A1A1A"/>
          <w:szCs w:val="26"/>
        </w:rPr>
        <w:t xml:space="preserve"> (versione inglese), Vice News, Cnn e Al </w:t>
      </w:r>
      <w:proofErr w:type="spellStart"/>
      <w:r w:rsidRPr="00F628C5">
        <w:rPr>
          <w:rFonts w:ascii="Garamond" w:hAnsi="Garamond" w:cs="Arial"/>
          <w:b/>
          <w:color w:val="1A1A1A"/>
          <w:szCs w:val="26"/>
        </w:rPr>
        <w:t>Jazeera</w:t>
      </w:r>
      <w:proofErr w:type="spellEnd"/>
      <w:r w:rsidRPr="00F628C5">
        <w:rPr>
          <w:rFonts w:ascii="Garamond" w:hAnsi="Garamond" w:cs="Arial"/>
          <w:b/>
          <w:color w:val="1A1A1A"/>
          <w:szCs w:val="26"/>
        </w:rPr>
        <w:t xml:space="preserve"> English, nel corso di una settimana campione (dal 16 al 22 febbraio 2015).</w:t>
      </w:r>
      <w:r w:rsidRPr="00F628C5">
        <w:rPr>
          <w:rFonts w:ascii="Garamond" w:hAnsi="Garamond" w:cs="Arial"/>
          <w:color w:val="1A1A1A"/>
          <w:szCs w:val="26"/>
        </w:rPr>
        <w:t xml:space="preserve"> In totale </w:t>
      </w:r>
      <w:r w:rsidRPr="00F628C5">
        <w:rPr>
          <w:rFonts w:ascii="Garamond" w:hAnsi="Garamond" w:cs="Arial"/>
          <w:b/>
          <w:color w:val="1A1A1A"/>
          <w:szCs w:val="26"/>
        </w:rPr>
        <w:t>sono stati esaminati 428 video</w:t>
      </w:r>
      <w:r w:rsidRPr="00F628C5">
        <w:rPr>
          <w:rFonts w:ascii="Garamond" w:hAnsi="Garamond" w:cs="Arial"/>
          <w:color w:val="1A1A1A"/>
          <w:szCs w:val="26"/>
        </w:rPr>
        <w:t xml:space="preserve"> (per 32,3 ore di filmati, 7 milioni di visualizzazioni e oltre 56 mila commenti). L’esame dei dati dimostra che l’attenzione ai conflitti è molto forte: </w:t>
      </w:r>
      <w:r w:rsidRPr="00F628C5">
        <w:rPr>
          <w:rFonts w:ascii="Garamond" w:hAnsi="Garamond" w:cs="Arial"/>
          <w:b/>
          <w:color w:val="1A1A1A"/>
          <w:szCs w:val="26"/>
        </w:rPr>
        <w:t xml:space="preserve">le notizie sui conflitti superano in alcuni casi il 50% di tutte le notizie video trasmesse sui canali </w:t>
      </w:r>
      <w:proofErr w:type="spellStart"/>
      <w:r w:rsidRPr="00F628C5">
        <w:rPr>
          <w:rFonts w:ascii="Garamond" w:hAnsi="Garamond" w:cs="Arial"/>
          <w:b/>
          <w:color w:val="1A1A1A"/>
          <w:szCs w:val="26"/>
        </w:rPr>
        <w:t>Youtube</w:t>
      </w:r>
      <w:proofErr w:type="spellEnd"/>
      <w:r w:rsidRPr="00F628C5">
        <w:rPr>
          <w:rFonts w:ascii="Garamond" w:hAnsi="Garamond" w:cs="Arial"/>
          <w:b/>
          <w:color w:val="1A1A1A"/>
          <w:szCs w:val="26"/>
        </w:rPr>
        <w:t xml:space="preserve"> di tali testate (è il caso di Al </w:t>
      </w:r>
      <w:proofErr w:type="spellStart"/>
      <w:r w:rsidRPr="00F628C5">
        <w:rPr>
          <w:rFonts w:ascii="Garamond" w:hAnsi="Garamond" w:cs="Arial"/>
          <w:b/>
          <w:color w:val="1A1A1A"/>
          <w:szCs w:val="26"/>
        </w:rPr>
        <w:t>Jazeera</w:t>
      </w:r>
      <w:proofErr w:type="spellEnd"/>
      <w:r w:rsidRPr="00F628C5">
        <w:rPr>
          <w:rFonts w:ascii="Garamond" w:hAnsi="Garamond" w:cs="Arial"/>
          <w:b/>
          <w:color w:val="1A1A1A"/>
          <w:szCs w:val="26"/>
        </w:rPr>
        <w:t xml:space="preserve"> English).</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 xml:space="preserve">Dall’analisi qualitativa condotta emergono tendenze ambivalenti: da un lato, </w:t>
      </w:r>
      <w:r w:rsidRPr="00F628C5">
        <w:rPr>
          <w:rFonts w:ascii="Garamond" w:hAnsi="Garamond" w:cs="Arial"/>
          <w:b/>
          <w:color w:val="1A1A1A"/>
          <w:szCs w:val="26"/>
        </w:rPr>
        <w:t>la diffusione di video autoprodotti da una delle parti in causa del conflitto porta con sé anche un nuovo rischio di manipolazione,</w:t>
      </w:r>
      <w:r w:rsidRPr="00F628C5">
        <w:rPr>
          <w:rFonts w:ascii="Garamond" w:hAnsi="Garamond" w:cs="Arial"/>
          <w:color w:val="1A1A1A"/>
          <w:szCs w:val="26"/>
        </w:rPr>
        <w:t xml:space="preserve"> soprattutto quando l’informazione è vista come un esercizio propagandistico (e non giornalistico). Come insegna l’esperienza dei filmati prodotti dallo Stato islamico, si è passati in pochi anni dai video utilizzati per denunciare le brutalità della guerra alla violenza fatta appositamente per essere condivisa on </w:t>
      </w:r>
      <w:proofErr w:type="spellStart"/>
      <w:r w:rsidRPr="00F628C5">
        <w:rPr>
          <w:rFonts w:ascii="Garamond" w:hAnsi="Garamond" w:cs="Arial"/>
          <w:color w:val="1A1A1A"/>
          <w:szCs w:val="26"/>
        </w:rPr>
        <w:t>line</w:t>
      </w:r>
      <w:proofErr w:type="spellEnd"/>
      <w:r w:rsidRPr="00F628C5">
        <w:rPr>
          <w:rFonts w:ascii="Garamond" w:hAnsi="Garamond" w:cs="Arial"/>
          <w:color w:val="1A1A1A"/>
          <w:szCs w:val="26"/>
        </w:rPr>
        <w:t xml:space="preserve"> e terrorizzare il nemico.</w:t>
      </w:r>
    </w:p>
    <w:p w:rsidR="00F628C5" w:rsidRPr="00F628C5" w:rsidRDefault="00F628C5" w:rsidP="00F628C5">
      <w:pPr>
        <w:widowControl w:val="0"/>
        <w:autoSpaceDE w:val="0"/>
        <w:autoSpaceDN w:val="0"/>
        <w:adjustRightInd w:val="0"/>
        <w:jc w:val="both"/>
        <w:rPr>
          <w:rFonts w:ascii="Garamond" w:hAnsi="Garamond" w:cs="Arial"/>
          <w:color w:val="1A1A1A"/>
          <w:szCs w:val="26"/>
        </w:rPr>
      </w:pPr>
    </w:p>
    <w:p w:rsidR="00F628C5" w:rsidRPr="00F628C5" w:rsidRDefault="00F628C5" w:rsidP="00F628C5">
      <w:pPr>
        <w:widowControl w:val="0"/>
        <w:autoSpaceDE w:val="0"/>
        <w:autoSpaceDN w:val="0"/>
        <w:adjustRightInd w:val="0"/>
        <w:jc w:val="both"/>
        <w:rPr>
          <w:rFonts w:ascii="Garamond" w:hAnsi="Garamond" w:cs="Arial"/>
          <w:color w:val="1A1A1A"/>
          <w:szCs w:val="26"/>
        </w:rPr>
      </w:pPr>
      <w:r w:rsidRPr="00F628C5">
        <w:rPr>
          <w:rFonts w:ascii="Garamond" w:hAnsi="Garamond" w:cs="Arial"/>
          <w:color w:val="1A1A1A"/>
          <w:szCs w:val="26"/>
        </w:rPr>
        <w:t xml:space="preserve">La conclusione dello studio è che </w:t>
      </w:r>
      <w:r w:rsidRPr="00F628C5">
        <w:rPr>
          <w:rFonts w:ascii="Garamond" w:hAnsi="Garamond" w:cs="Arial"/>
          <w:b/>
          <w:color w:val="1A1A1A"/>
          <w:szCs w:val="26"/>
        </w:rPr>
        <w:t>nel nuovo scenario liquido dell’informazione si avverte un forte bisogno di contestualizzazione e mediazione giornalistica</w:t>
      </w:r>
      <w:r w:rsidRPr="00F628C5">
        <w:rPr>
          <w:rFonts w:ascii="Garamond" w:hAnsi="Garamond" w:cs="Arial"/>
          <w:color w:val="1A1A1A"/>
          <w:szCs w:val="26"/>
        </w:rPr>
        <w:t xml:space="preserve">. L’utente che arriva su </w:t>
      </w:r>
      <w:proofErr w:type="spellStart"/>
      <w:r w:rsidRPr="00F628C5">
        <w:rPr>
          <w:rFonts w:ascii="Garamond" w:hAnsi="Garamond" w:cs="Arial"/>
          <w:color w:val="1A1A1A"/>
          <w:szCs w:val="26"/>
        </w:rPr>
        <w:t>YouTube</w:t>
      </w:r>
      <w:proofErr w:type="spellEnd"/>
      <w:r w:rsidRPr="00F628C5">
        <w:rPr>
          <w:rFonts w:ascii="Garamond" w:hAnsi="Garamond" w:cs="Arial"/>
          <w:color w:val="1A1A1A"/>
          <w:szCs w:val="26"/>
        </w:rPr>
        <w:t xml:space="preserve"> da un social network spesso non si chiede su quale canale è arrivato, qual è la sua agenda politica, da chi è finanziato: preme play, commenta e condivide il video senza farsi troppe domande. Invece, ora più che mai, è richiesta a tutti grande attenzione. Altrimenti è vero che saremo tutti più informati, ma diventeremo anche più manipolabili.</w:t>
      </w:r>
    </w:p>
    <w:p w:rsidR="00C40319" w:rsidRPr="00F628C5" w:rsidRDefault="00C40319" w:rsidP="00F628C5">
      <w:pPr>
        <w:ind w:right="425"/>
        <w:jc w:val="both"/>
        <w:rPr>
          <w:rFonts w:ascii="Garamond" w:hAnsi="Garamond"/>
        </w:rPr>
      </w:pPr>
    </w:p>
    <w:sectPr w:rsidR="00C40319" w:rsidRPr="00F628C5" w:rsidSect="00834FB5">
      <w:headerReference w:type="default" r:id="rId8"/>
      <w:footerReference w:type="default" r:id="rId9"/>
      <w:pgSz w:w="11900" w:h="16840"/>
      <w:pgMar w:top="2836" w:right="1410" w:bottom="2127" w:left="1134" w:header="0" w:footer="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D5E" w:rsidRDefault="00F40D5E" w:rsidP="00BB6240">
      <w:r>
        <w:separator/>
      </w:r>
    </w:p>
  </w:endnote>
  <w:endnote w:type="continuationSeparator" w:id="0">
    <w:p w:rsidR="00F40D5E" w:rsidRDefault="00F40D5E" w:rsidP="00BB6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0A" w:rsidRDefault="0068790A" w:rsidP="00BB6240">
    <w:pPr>
      <w:pStyle w:val="Pidipagina"/>
      <w:ind w:left="-1134"/>
    </w:pPr>
    <w:r>
      <w:rPr>
        <w:noProof/>
      </w:rPr>
      <w:drawing>
        <wp:inline distT="0" distB="0" distL="0" distR="0">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D5E" w:rsidRDefault="00F40D5E" w:rsidP="00BB6240">
      <w:r>
        <w:separator/>
      </w:r>
    </w:p>
  </w:footnote>
  <w:footnote w:type="continuationSeparator" w:id="0">
    <w:p w:rsidR="00F40D5E" w:rsidRDefault="00F40D5E" w:rsidP="00BB624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0A" w:rsidRDefault="00375E14" w:rsidP="008D0A6D">
    <w:pPr>
      <w:jc w:val="both"/>
      <w:rPr>
        <w:rFonts w:ascii="Garamond" w:hAnsi="Garamond"/>
        <w:b/>
        <w:sz w:val="16"/>
        <w:szCs w:val="16"/>
      </w:rPr>
    </w:pPr>
    <w:r w:rsidRPr="00375E14">
      <w:rPr>
        <w:noProof/>
      </w:rPr>
      <w:pict>
        <v:shapetype id="_x0000_t202" coordsize="21600,21600" o:spt="202" path="m0,0l0,21600,21600,21600,21600,0xe">
          <v:stroke joinstyle="miter"/>
          <v:path gradientshapeok="t" o:connecttype="rect"/>
        </v:shapetype>
        <v:shape id="Casella di testo 3" o:spid="_x0000_s4096" type="#_x0000_t202" style="position:absolute;left:0;text-align:left;margin-left:0;margin-top:0;width:135pt;height:30.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" filled="f" stroked="f">
          <v:path arrowok="t"/>
          <v:textbox>
            <w:txbxContent>
              <w:p w:rsidR="0068790A" w:rsidRDefault="0068790A"/>
            </w:txbxContent>
          </v:textbox>
          <w10:wrap type="square" anchorx="page"/>
        </v:shape>
      </w:pict>
    </w:r>
    <w:r w:rsidR="0068790A" w:rsidRPr="008D0A6D">
      <w:rPr>
        <w:rFonts w:ascii="Garamond" w:hAnsi="Garamond"/>
        <w:b/>
        <w:sz w:val="16"/>
        <w:szCs w:val="16"/>
      </w:rPr>
      <w:t xml:space="preserve"> </w:t>
    </w:r>
    <w:r w:rsidR="0068790A">
      <w:rPr>
        <w:rFonts w:ascii="Garamond" w:hAnsi="Garamond"/>
        <w:b/>
        <w:sz w:val="16"/>
        <w:szCs w:val="16"/>
      </w:rPr>
      <w:tab/>
    </w:r>
    <w:r w:rsidR="0068790A">
      <w:rPr>
        <w:rFonts w:ascii="Garamond" w:hAnsi="Garamond"/>
        <w:b/>
        <w:sz w:val="16"/>
        <w:szCs w:val="16"/>
      </w:rPr>
      <w:tab/>
    </w:r>
    <w:r w:rsidR="0068790A">
      <w:rPr>
        <w:rFonts w:ascii="Garamond" w:hAnsi="Garamond"/>
        <w:b/>
        <w:sz w:val="16"/>
        <w:szCs w:val="16"/>
      </w:rPr>
      <w:tab/>
    </w:r>
    <w:r w:rsidR="0068790A">
      <w:rPr>
        <w:rFonts w:ascii="Garamond" w:hAnsi="Garamond"/>
        <w:b/>
        <w:sz w:val="16"/>
        <w:szCs w:val="16"/>
      </w:rPr>
      <w:tab/>
    </w:r>
    <w:r w:rsidR="0068790A">
      <w:rPr>
        <w:rFonts w:ascii="Garamond" w:hAnsi="Garamond"/>
        <w:b/>
        <w:sz w:val="16"/>
        <w:szCs w:val="16"/>
      </w:rPr>
      <w:tab/>
    </w:r>
  </w:p>
  <w:p w:rsidR="0068790A" w:rsidRDefault="0068790A" w:rsidP="008D0A6D">
    <w:pPr>
      <w:jc w:val="both"/>
      <w:rPr>
        <w:rFonts w:ascii="Garamond" w:hAnsi="Garamond"/>
        <w:b/>
        <w:sz w:val="16"/>
        <w:szCs w:val="16"/>
      </w:rPr>
    </w:pPr>
  </w:p>
  <w:p w:rsidR="0068790A" w:rsidRDefault="0068790A" w:rsidP="00BB6240">
    <w:pPr>
      <w:pStyle w:val="Intestazione"/>
      <w:ind w:left="-1134"/>
    </w:pPr>
    <w:r>
      <w:rPr>
        <w:noProof/>
      </w:rPr>
      <w:drawing>
        <wp:inline distT="0" distB="0" distL="0" distR="0">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578090" cy="1576204"/>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958"/>
    <w:multiLevelType w:val="hybridMultilevel"/>
    <w:tmpl w:val="686435CA"/>
    <w:lvl w:ilvl="0" w:tplc="EB744DE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2DA6092"/>
    <w:multiLevelType w:val="hybridMultilevel"/>
    <w:tmpl w:val="6EECF780"/>
    <w:lvl w:ilvl="0" w:tplc="DBD05738">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E607B50"/>
    <w:multiLevelType w:val="multilevel"/>
    <w:tmpl w:val="1F7C2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B6E56D1"/>
    <w:multiLevelType w:val="hybridMultilevel"/>
    <w:tmpl w:val="41FA978C"/>
    <w:lvl w:ilvl="0" w:tplc="446A271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7E636FDD"/>
    <w:multiLevelType w:val="hybridMultilevel"/>
    <w:tmpl w:val="7180B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08"/>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
  <w:rsids>
    <w:rsidRoot w:val="00BB6240"/>
    <w:rsid w:val="00000F42"/>
    <w:rsid w:val="000024C3"/>
    <w:rsid w:val="00006D7E"/>
    <w:rsid w:val="000110F5"/>
    <w:rsid w:val="00011B3F"/>
    <w:rsid w:val="0002369F"/>
    <w:rsid w:val="00027B02"/>
    <w:rsid w:val="000308CF"/>
    <w:rsid w:val="00032A2A"/>
    <w:rsid w:val="00032C3E"/>
    <w:rsid w:val="0003552C"/>
    <w:rsid w:val="0004700F"/>
    <w:rsid w:val="000611B6"/>
    <w:rsid w:val="000677BA"/>
    <w:rsid w:val="000914ED"/>
    <w:rsid w:val="000A479F"/>
    <w:rsid w:val="000A48BA"/>
    <w:rsid w:val="000B4585"/>
    <w:rsid w:val="000C30BD"/>
    <w:rsid w:val="000D1623"/>
    <w:rsid w:val="000E637D"/>
    <w:rsid w:val="000F3E88"/>
    <w:rsid w:val="0011179C"/>
    <w:rsid w:val="00115C4F"/>
    <w:rsid w:val="00117AA8"/>
    <w:rsid w:val="0012206F"/>
    <w:rsid w:val="001270CF"/>
    <w:rsid w:val="00130A2F"/>
    <w:rsid w:val="00146CE2"/>
    <w:rsid w:val="001822B2"/>
    <w:rsid w:val="00182EFD"/>
    <w:rsid w:val="001850E9"/>
    <w:rsid w:val="00192830"/>
    <w:rsid w:val="00194018"/>
    <w:rsid w:val="001A270E"/>
    <w:rsid w:val="001A53AE"/>
    <w:rsid w:val="001B2548"/>
    <w:rsid w:val="001B6313"/>
    <w:rsid w:val="001C4187"/>
    <w:rsid w:val="001E21ED"/>
    <w:rsid w:val="001E3544"/>
    <w:rsid w:val="001F1511"/>
    <w:rsid w:val="001F1CCF"/>
    <w:rsid w:val="001F4B89"/>
    <w:rsid w:val="0021555E"/>
    <w:rsid w:val="002179DE"/>
    <w:rsid w:val="002214F5"/>
    <w:rsid w:val="00221C3E"/>
    <w:rsid w:val="002234C5"/>
    <w:rsid w:val="00246EF3"/>
    <w:rsid w:val="002631EB"/>
    <w:rsid w:val="002710A3"/>
    <w:rsid w:val="00273054"/>
    <w:rsid w:val="002766D3"/>
    <w:rsid w:val="002822CC"/>
    <w:rsid w:val="002904F0"/>
    <w:rsid w:val="00297B42"/>
    <w:rsid w:val="002A332A"/>
    <w:rsid w:val="002B128D"/>
    <w:rsid w:val="002B4D94"/>
    <w:rsid w:val="002C1CEC"/>
    <w:rsid w:val="002C281D"/>
    <w:rsid w:val="002D0A29"/>
    <w:rsid w:val="002D2C5F"/>
    <w:rsid w:val="002F2DAA"/>
    <w:rsid w:val="0030387B"/>
    <w:rsid w:val="00304989"/>
    <w:rsid w:val="003116A1"/>
    <w:rsid w:val="00315F7F"/>
    <w:rsid w:val="00320556"/>
    <w:rsid w:val="0032337A"/>
    <w:rsid w:val="00324ACC"/>
    <w:rsid w:val="00325650"/>
    <w:rsid w:val="00325D45"/>
    <w:rsid w:val="00333771"/>
    <w:rsid w:val="00333C9A"/>
    <w:rsid w:val="00346036"/>
    <w:rsid w:val="003503A2"/>
    <w:rsid w:val="00357206"/>
    <w:rsid w:val="0037084F"/>
    <w:rsid w:val="00374532"/>
    <w:rsid w:val="00375E14"/>
    <w:rsid w:val="00381C82"/>
    <w:rsid w:val="00394849"/>
    <w:rsid w:val="00396567"/>
    <w:rsid w:val="0039778C"/>
    <w:rsid w:val="003A21AA"/>
    <w:rsid w:val="003A36E5"/>
    <w:rsid w:val="003A5C0C"/>
    <w:rsid w:val="003A77B3"/>
    <w:rsid w:val="003D12EF"/>
    <w:rsid w:val="003D1B42"/>
    <w:rsid w:val="003E3045"/>
    <w:rsid w:val="003E3462"/>
    <w:rsid w:val="003E35AB"/>
    <w:rsid w:val="003E76E7"/>
    <w:rsid w:val="003F2583"/>
    <w:rsid w:val="003F6FC4"/>
    <w:rsid w:val="00403D68"/>
    <w:rsid w:val="004075A6"/>
    <w:rsid w:val="00413F85"/>
    <w:rsid w:val="00417FBF"/>
    <w:rsid w:val="00423ABE"/>
    <w:rsid w:val="00434C4D"/>
    <w:rsid w:val="00435066"/>
    <w:rsid w:val="00443C8C"/>
    <w:rsid w:val="004518AC"/>
    <w:rsid w:val="00451F1A"/>
    <w:rsid w:val="00455334"/>
    <w:rsid w:val="00460DC1"/>
    <w:rsid w:val="004611B6"/>
    <w:rsid w:val="00461964"/>
    <w:rsid w:val="00464F4A"/>
    <w:rsid w:val="00475E76"/>
    <w:rsid w:val="004834DB"/>
    <w:rsid w:val="00493579"/>
    <w:rsid w:val="004959E0"/>
    <w:rsid w:val="004A24C8"/>
    <w:rsid w:val="004A6A76"/>
    <w:rsid w:val="004B0E12"/>
    <w:rsid w:val="004C28CC"/>
    <w:rsid w:val="004C2E86"/>
    <w:rsid w:val="004C376F"/>
    <w:rsid w:val="004C6BC5"/>
    <w:rsid w:val="004E04BC"/>
    <w:rsid w:val="004E3392"/>
    <w:rsid w:val="004E46D6"/>
    <w:rsid w:val="00513488"/>
    <w:rsid w:val="005210B0"/>
    <w:rsid w:val="00521766"/>
    <w:rsid w:val="00527405"/>
    <w:rsid w:val="00532893"/>
    <w:rsid w:val="00537609"/>
    <w:rsid w:val="00541142"/>
    <w:rsid w:val="00554008"/>
    <w:rsid w:val="0057077E"/>
    <w:rsid w:val="00573D65"/>
    <w:rsid w:val="00580EFC"/>
    <w:rsid w:val="00584B8C"/>
    <w:rsid w:val="00590364"/>
    <w:rsid w:val="00594222"/>
    <w:rsid w:val="00594856"/>
    <w:rsid w:val="0059593D"/>
    <w:rsid w:val="005A5B11"/>
    <w:rsid w:val="005B19D8"/>
    <w:rsid w:val="005B3E33"/>
    <w:rsid w:val="005B47AC"/>
    <w:rsid w:val="005C03B1"/>
    <w:rsid w:val="005C3706"/>
    <w:rsid w:val="005C50DE"/>
    <w:rsid w:val="005E142A"/>
    <w:rsid w:val="005F2936"/>
    <w:rsid w:val="0060784A"/>
    <w:rsid w:val="006203CF"/>
    <w:rsid w:val="006255C9"/>
    <w:rsid w:val="006519F8"/>
    <w:rsid w:val="00651E9B"/>
    <w:rsid w:val="00652AEC"/>
    <w:rsid w:val="00655C61"/>
    <w:rsid w:val="006646E8"/>
    <w:rsid w:val="00665354"/>
    <w:rsid w:val="006707F7"/>
    <w:rsid w:val="00682E2B"/>
    <w:rsid w:val="0068790A"/>
    <w:rsid w:val="0069106A"/>
    <w:rsid w:val="006A0DBC"/>
    <w:rsid w:val="006A4946"/>
    <w:rsid w:val="006B1C64"/>
    <w:rsid w:val="006B5EC4"/>
    <w:rsid w:val="006C0599"/>
    <w:rsid w:val="006C16D7"/>
    <w:rsid w:val="006D0D9D"/>
    <w:rsid w:val="006D6ED6"/>
    <w:rsid w:val="006E0C24"/>
    <w:rsid w:val="006E61DF"/>
    <w:rsid w:val="006E6390"/>
    <w:rsid w:val="006E7824"/>
    <w:rsid w:val="006F096D"/>
    <w:rsid w:val="006F2B2F"/>
    <w:rsid w:val="006F605F"/>
    <w:rsid w:val="00712FBF"/>
    <w:rsid w:val="00716B7B"/>
    <w:rsid w:val="0072687B"/>
    <w:rsid w:val="007364C1"/>
    <w:rsid w:val="00740FEB"/>
    <w:rsid w:val="00745DAD"/>
    <w:rsid w:val="0075777A"/>
    <w:rsid w:val="007708C7"/>
    <w:rsid w:val="00773644"/>
    <w:rsid w:val="007738F1"/>
    <w:rsid w:val="00777872"/>
    <w:rsid w:val="00785BE5"/>
    <w:rsid w:val="007868F3"/>
    <w:rsid w:val="00790B05"/>
    <w:rsid w:val="00792483"/>
    <w:rsid w:val="007A32BC"/>
    <w:rsid w:val="007B4626"/>
    <w:rsid w:val="007C0D86"/>
    <w:rsid w:val="007C362B"/>
    <w:rsid w:val="007C513E"/>
    <w:rsid w:val="007D2024"/>
    <w:rsid w:val="007D592C"/>
    <w:rsid w:val="007F2D48"/>
    <w:rsid w:val="007F4304"/>
    <w:rsid w:val="007F7074"/>
    <w:rsid w:val="00802A2B"/>
    <w:rsid w:val="00804758"/>
    <w:rsid w:val="00810E4C"/>
    <w:rsid w:val="0082580A"/>
    <w:rsid w:val="0082769E"/>
    <w:rsid w:val="00832463"/>
    <w:rsid w:val="00834FB5"/>
    <w:rsid w:val="008422BF"/>
    <w:rsid w:val="008447EA"/>
    <w:rsid w:val="00846A8A"/>
    <w:rsid w:val="008534D0"/>
    <w:rsid w:val="008639A5"/>
    <w:rsid w:val="00875034"/>
    <w:rsid w:val="008774D7"/>
    <w:rsid w:val="00880C24"/>
    <w:rsid w:val="00883114"/>
    <w:rsid w:val="0089330D"/>
    <w:rsid w:val="008A1745"/>
    <w:rsid w:val="008A405E"/>
    <w:rsid w:val="008B08DF"/>
    <w:rsid w:val="008B6BE0"/>
    <w:rsid w:val="008C2D16"/>
    <w:rsid w:val="008C37CF"/>
    <w:rsid w:val="008D0038"/>
    <w:rsid w:val="008D0A6D"/>
    <w:rsid w:val="008D42FC"/>
    <w:rsid w:val="008D4E34"/>
    <w:rsid w:val="008E3310"/>
    <w:rsid w:val="008F7723"/>
    <w:rsid w:val="0090041F"/>
    <w:rsid w:val="00911D74"/>
    <w:rsid w:val="00922108"/>
    <w:rsid w:val="00925DEE"/>
    <w:rsid w:val="0093292A"/>
    <w:rsid w:val="00937479"/>
    <w:rsid w:val="0094288F"/>
    <w:rsid w:val="009447D2"/>
    <w:rsid w:val="00946E24"/>
    <w:rsid w:val="0095520D"/>
    <w:rsid w:val="009567FB"/>
    <w:rsid w:val="00957142"/>
    <w:rsid w:val="009661D9"/>
    <w:rsid w:val="0097425D"/>
    <w:rsid w:val="00984D04"/>
    <w:rsid w:val="00985B91"/>
    <w:rsid w:val="009948DB"/>
    <w:rsid w:val="00997781"/>
    <w:rsid w:val="009A5711"/>
    <w:rsid w:val="009B2254"/>
    <w:rsid w:val="009C2162"/>
    <w:rsid w:val="009C4173"/>
    <w:rsid w:val="009D04F3"/>
    <w:rsid w:val="00A10012"/>
    <w:rsid w:val="00A26339"/>
    <w:rsid w:val="00A31114"/>
    <w:rsid w:val="00A31EE9"/>
    <w:rsid w:val="00A342E1"/>
    <w:rsid w:val="00A36379"/>
    <w:rsid w:val="00A655CE"/>
    <w:rsid w:val="00A77DEC"/>
    <w:rsid w:val="00A87475"/>
    <w:rsid w:val="00A96BB4"/>
    <w:rsid w:val="00AA08FB"/>
    <w:rsid w:val="00AA2253"/>
    <w:rsid w:val="00AA5DD0"/>
    <w:rsid w:val="00AB3CB2"/>
    <w:rsid w:val="00AB67EB"/>
    <w:rsid w:val="00AC2D56"/>
    <w:rsid w:val="00AC2F3B"/>
    <w:rsid w:val="00AC57A1"/>
    <w:rsid w:val="00AC59A6"/>
    <w:rsid w:val="00AD104C"/>
    <w:rsid w:val="00AD729F"/>
    <w:rsid w:val="00B06022"/>
    <w:rsid w:val="00B243C4"/>
    <w:rsid w:val="00B26193"/>
    <w:rsid w:val="00B360E5"/>
    <w:rsid w:val="00B45B28"/>
    <w:rsid w:val="00B5455E"/>
    <w:rsid w:val="00B62774"/>
    <w:rsid w:val="00B63EDA"/>
    <w:rsid w:val="00B70A86"/>
    <w:rsid w:val="00B71D27"/>
    <w:rsid w:val="00B729FE"/>
    <w:rsid w:val="00B762B9"/>
    <w:rsid w:val="00B95329"/>
    <w:rsid w:val="00B95F67"/>
    <w:rsid w:val="00BA3EC0"/>
    <w:rsid w:val="00BB296D"/>
    <w:rsid w:val="00BB6240"/>
    <w:rsid w:val="00BE1AE9"/>
    <w:rsid w:val="00BE547C"/>
    <w:rsid w:val="00BE660E"/>
    <w:rsid w:val="00BF171F"/>
    <w:rsid w:val="00BF27E0"/>
    <w:rsid w:val="00C014CA"/>
    <w:rsid w:val="00C027E4"/>
    <w:rsid w:val="00C06114"/>
    <w:rsid w:val="00C31E2F"/>
    <w:rsid w:val="00C364B8"/>
    <w:rsid w:val="00C36870"/>
    <w:rsid w:val="00C40319"/>
    <w:rsid w:val="00C42F4E"/>
    <w:rsid w:val="00C44B92"/>
    <w:rsid w:val="00C4502C"/>
    <w:rsid w:val="00C46197"/>
    <w:rsid w:val="00C5631B"/>
    <w:rsid w:val="00C70391"/>
    <w:rsid w:val="00C744C7"/>
    <w:rsid w:val="00C87994"/>
    <w:rsid w:val="00CA1C22"/>
    <w:rsid w:val="00CA3F65"/>
    <w:rsid w:val="00CA4C05"/>
    <w:rsid w:val="00CB28D4"/>
    <w:rsid w:val="00CD1AE6"/>
    <w:rsid w:val="00CD22AB"/>
    <w:rsid w:val="00CD239B"/>
    <w:rsid w:val="00CD6254"/>
    <w:rsid w:val="00CE694B"/>
    <w:rsid w:val="00CE6F1E"/>
    <w:rsid w:val="00CF7204"/>
    <w:rsid w:val="00D22D7F"/>
    <w:rsid w:val="00D2450B"/>
    <w:rsid w:val="00D24CA2"/>
    <w:rsid w:val="00D27819"/>
    <w:rsid w:val="00D3111B"/>
    <w:rsid w:val="00D44DD6"/>
    <w:rsid w:val="00D46FDE"/>
    <w:rsid w:val="00D52C54"/>
    <w:rsid w:val="00D71C46"/>
    <w:rsid w:val="00D86813"/>
    <w:rsid w:val="00D87D13"/>
    <w:rsid w:val="00D95C21"/>
    <w:rsid w:val="00D96F1E"/>
    <w:rsid w:val="00DA0217"/>
    <w:rsid w:val="00DA3569"/>
    <w:rsid w:val="00DB36C3"/>
    <w:rsid w:val="00DC1EAE"/>
    <w:rsid w:val="00DD11A5"/>
    <w:rsid w:val="00DD1AAC"/>
    <w:rsid w:val="00DD352F"/>
    <w:rsid w:val="00DD6DDC"/>
    <w:rsid w:val="00DF0E84"/>
    <w:rsid w:val="00DF7652"/>
    <w:rsid w:val="00E17C92"/>
    <w:rsid w:val="00E2079C"/>
    <w:rsid w:val="00E21B6D"/>
    <w:rsid w:val="00E26471"/>
    <w:rsid w:val="00E32308"/>
    <w:rsid w:val="00E349A2"/>
    <w:rsid w:val="00E3724A"/>
    <w:rsid w:val="00E42DD4"/>
    <w:rsid w:val="00E501CF"/>
    <w:rsid w:val="00E80500"/>
    <w:rsid w:val="00E84680"/>
    <w:rsid w:val="00EA22B1"/>
    <w:rsid w:val="00EA2F3E"/>
    <w:rsid w:val="00EA3B3F"/>
    <w:rsid w:val="00EA4E64"/>
    <w:rsid w:val="00EB6EAA"/>
    <w:rsid w:val="00EC2CD5"/>
    <w:rsid w:val="00EC7FEF"/>
    <w:rsid w:val="00ED4CF2"/>
    <w:rsid w:val="00EE4106"/>
    <w:rsid w:val="00EF1206"/>
    <w:rsid w:val="00EF3ECD"/>
    <w:rsid w:val="00F1120A"/>
    <w:rsid w:val="00F13353"/>
    <w:rsid w:val="00F15FF9"/>
    <w:rsid w:val="00F23D4B"/>
    <w:rsid w:val="00F40D5E"/>
    <w:rsid w:val="00F433D7"/>
    <w:rsid w:val="00F45070"/>
    <w:rsid w:val="00F5099A"/>
    <w:rsid w:val="00F53928"/>
    <w:rsid w:val="00F55CD3"/>
    <w:rsid w:val="00F628C5"/>
    <w:rsid w:val="00F65141"/>
    <w:rsid w:val="00F664E1"/>
    <w:rsid w:val="00F80B7D"/>
    <w:rsid w:val="00F81EAC"/>
    <w:rsid w:val="00F914FC"/>
    <w:rsid w:val="00F9691D"/>
    <w:rsid w:val="00FB022E"/>
    <w:rsid w:val="00FD06E8"/>
    <w:rsid w:val="00FD6AA9"/>
    <w:rsid w:val="00FE5552"/>
    <w:rsid w:val="00FF1C36"/>
    <w:rsid w:val="00FF238A"/>
    <w:rsid w:val="00FF2BCA"/>
    <w:rsid w:val="00FF3FA8"/>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6240"/>
  </w:style>
  <w:style w:type="paragraph" w:styleId="Titolo2">
    <w:name w:val="heading 2"/>
    <w:basedOn w:val="Normale"/>
    <w:link w:val="Titolo2Carattere"/>
    <w:uiPriority w:val="9"/>
    <w:qFormat/>
    <w:rsid w:val="00AD10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attere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attere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2822CC"/>
    <w:rPr>
      <w:rFonts w:ascii="Calibri" w:eastAsiaTheme="minorHAnsi" w:hAnsi="Calibri"/>
      <w:sz w:val="22"/>
      <w:szCs w:val="21"/>
      <w:lang w:eastAsia="en-US"/>
    </w:rPr>
  </w:style>
  <w:style w:type="character" w:customStyle="1" w:styleId="TestonormaleCarattere">
    <w:name w:val="Testo normale Carattere"/>
    <w:basedOn w:val="Caratterepredefinitoparagrafo"/>
    <w:link w:val="Testonormale"/>
    <w:uiPriority w:val="99"/>
    <w:semiHidden/>
    <w:rsid w:val="002822CC"/>
    <w:rPr>
      <w:rFonts w:ascii="Calibri" w:eastAsiaTheme="minorHAnsi" w:hAnsi="Calibri"/>
      <w:sz w:val="22"/>
      <w:szCs w:val="21"/>
      <w:lang w:eastAsia="en-US"/>
    </w:rPr>
  </w:style>
  <w:style w:type="paragraph" w:styleId="Paragrafoelenco">
    <w:name w:val="List Paragraph"/>
    <w:basedOn w:val="Normale"/>
    <w:uiPriority w:val="34"/>
    <w:qFormat/>
    <w:rsid w:val="0060784A"/>
    <w:pPr>
      <w:spacing w:after="200" w:line="276" w:lineRule="auto"/>
      <w:ind w:left="720"/>
      <w:contextualSpacing/>
    </w:pPr>
    <w:rPr>
      <w:rFonts w:eastAsiaTheme="minorHAnsi"/>
      <w:sz w:val="22"/>
      <w:szCs w:val="22"/>
      <w:lang w:eastAsia="en-US"/>
    </w:rPr>
  </w:style>
  <w:style w:type="character" w:styleId="Collegamentoipertestuale">
    <w:name w:val="Hyperlink"/>
    <w:basedOn w:val="Caratterepredefinitoparagrafo"/>
    <w:uiPriority w:val="99"/>
    <w:unhideWhenUsed/>
    <w:rsid w:val="006646E8"/>
    <w:rPr>
      <w:color w:val="0000FF"/>
      <w:u w:val="single"/>
    </w:rPr>
  </w:style>
  <w:style w:type="character" w:customStyle="1" w:styleId="Titolo2Carattere">
    <w:name w:val="Titolo 2 Carattere"/>
    <w:basedOn w:val="Caratterepredefinitoparagrafo"/>
    <w:link w:val="Titolo2"/>
    <w:uiPriority w:val="9"/>
    <w:rsid w:val="00AD104C"/>
    <w:rPr>
      <w:rFonts w:ascii="Times New Roman" w:eastAsia="Times New Roman" w:hAnsi="Times New Roman" w:cs="Times New Roman"/>
      <w:b/>
      <w:bCs/>
      <w:sz w:val="36"/>
      <w:szCs w:val="36"/>
    </w:rPr>
  </w:style>
  <w:style w:type="paragraph" w:styleId="NormaleWeb">
    <w:name w:val="Normal (Web)"/>
    <w:basedOn w:val="Normale"/>
    <w:uiPriority w:val="99"/>
    <w:semiHidden/>
    <w:unhideWhenUsed/>
    <w:rsid w:val="00AD104C"/>
    <w:pPr>
      <w:spacing w:before="100" w:beforeAutospacing="1" w:after="100" w:afterAutospacing="1"/>
    </w:pPr>
    <w:rPr>
      <w:rFonts w:ascii="Times New Roman" w:eastAsia="Times New Roman" w:hAnsi="Times New Roman" w:cs="Times New Roman"/>
    </w:rPr>
  </w:style>
  <w:style w:type="character" w:styleId="Enfasigrassetto">
    <w:name w:val="Strong"/>
    <w:basedOn w:val="Caratterepredefinitoparagrafo"/>
    <w:uiPriority w:val="22"/>
    <w:qFormat/>
    <w:rsid w:val="00AD104C"/>
    <w:rPr>
      <w:b/>
      <w:bCs/>
    </w:rPr>
  </w:style>
  <w:style w:type="character" w:customStyle="1" w:styleId="apple-converted-space">
    <w:name w:val="apple-converted-space"/>
    <w:basedOn w:val="Caratterepredefinitoparagrafo"/>
    <w:rsid w:val="00AD104C"/>
  </w:style>
  <w:style w:type="character" w:styleId="Collegamentovisitato">
    <w:name w:val="FollowedHyperlink"/>
    <w:basedOn w:val="Caratterepredefinitoparagrafo"/>
    <w:uiPriority w:val="99"/>
    <w:semiHidden/>
    <w:unhideWhenUsed/>
    <w:rsid w:val="00403D68"/>
    <w:rPr>
      <w:color w:val="800080" w:themeColor="followedHyperlink"/>
      <w:u w:val="single"/>
    </w:rPr>
  </w:style>
  <w:style w:type="character" w:styleId="Enfasicorsivo">
    <w:name w:val="Emphasis"/>
    <w:basedOn w:val="Caratterepredefinitoparagrafo"/>
    <w:uiPriority w:val="20"/>
    <w:qFormat/>
    <w:rsid w:val="00AB3CB2"/>
    <w:rPr>
      <w:i/>
      <w:iCs/>
    </w:rPr>
  </w:style>
</w:styles>
</file>

<file path=word/webSettings.xml><?xml version="1.0" encoding="utf-8"?>
<w:webSettings xmlns:r="http://schemas.openxmlformats.org/officeDocument/2006/relationships" xmlns:w="http://schemas.openxmlformats.org/wordprocessingml/2006/main">
  <w:divs>
    <w:div w:id="224731178">
      <w:bodyDiv w:val="1"/>
      <w:marLeft w:val="0"/>
      <w:marRight w:val="0"/>
      <w:marTop w:val="0"/>
      <w:marBottom w:val="0"/>
      <w:divBdr>
        <w:top w:val="none" w:sz="0" w:space="0" w:color="auto"/>
        <w:left w:val="none" w:sz="0" w:space="0" w:color="auto"/>
        <w:bottom w:val="none" w:sz="0" w:space="0" w:color="auto"/>
        <w:right w:val="none" w:sz="0" w:space="0" w:color="auto"/>
      </w:divBdr>
    </w:div>
    <w:div w:id="227039001">
      <w:bodyDiv w:val="1"/>
      <w:marLeft w:val="0"/>
      <w:marRight w:val="0"/>
      <w:marTop w:val="0"/>
      <w:marBottom w:val="0"/>
      <w:divBdr>
        <w:top w:val="none" w:sz="0" w:space="0" w:color="auto"/>
        <w:left w:val="none" w:sz="0" w:space="0" w:color="auto"/>
        <w:bottom w:val="none" w:sz="0" w:space="0" w:color="auto"/>
        <w:right w:val="none" w:sz="0" w:space="0" w:color="auto"/>
      </w:divBdr>
    </w:div>
    <w:div w:id="420102004">
      <w:bodyDiv w:val="1"/>
      <w:marLeft w:val="0"/>
      <w:marRight w:val="0"/>
      <w:marTop w:val="0"/>
      <w:marBottom w:val="0"/>
      <w:divBdr>
        <w:top w:val="none" w:sz="0" w:space="0" w:color="auto"/>
        <w:left w:val="none" w:sz="0" w:space="0" w:color="auto"/>
        <w:bottom w:val="none" w:sz="0" w:space="0" w:color="auto"/>
        <w:right w:val="none" w:sz="0" w:space="0" w:color="auto"/>
      </w:divBdr>
    </w:div>
    <w:div w:id="459494292">
      <w:bodyDiv w:val="1"/>
      <w:marLeft w:val="0"/>
      <w:marRight w:val="0"/>
      <w:marTop w:val="0"/>
      <w:marBottom w:val="0"/>
      <w:divBdr>
        <w:top w:val="none" w:sz="0" w:space="0" w:color="auto"/>
        <w:left w:val="none" w:sz="0" w:space="0" w:color="auto"/>
        <w:bottom w:val="none" w:sz="0" w:space="0" w:color="auto"/>
        <w:right w:val="none" w:sz="0" w:space="0" w:color="auto"/>
      </w:divBdr>
    </w:div>
    <w:div w:id="1162505073">
      <w:bodyDiv w:val="1"/>
      <w:marLeft w:val="0"/>
      <w:marRight w:val="0"/>
      <w:marTop w:val="0"/>
      <w:marBottom w:val="0"/>
      <w:divBdr>
        <w:top w:val="none" w:sz="0" w:space="0" w:color="auto"/>
        <w:left w:val="none" w:sz="0" w:space="0" w:color="auto"/>
        <w:bottom w:val="none" w:sz="0" w:space="0" w:color="auto"/>
        <w:right w:val="none" w:sz="0" w:space="0" w:color="auto"/>
      </w:divBdr>
    </w:div>
    <w:div w:id="1314673829">
      <w:bodyDiv w:val="1"/>
      <w:marLeft w:val="0"/>
      <w:marRight w:val="0"/>
      <w:marTop w:val="0"/>
      <w:marBottom w:val="0"/>
      <w:divBdr>
        <w:top w:val="none" w:sz="0" w:space="0" w:color="auto"/>
        <w:left w:val="none" w:sz="0" w:space="0" w:color="auto"/>
        <w:bottom w:val="none" w:sz="0" w:space="0" w:color="auto"/>
        <w:right w:val="none" w:sz="0" w:space="0" w:color="auto"/>
      </w:divBdr>
    </w:div>
    <w:div w:id="1360396750">
      <w:bodyDiv w:val="1"/>
      <w:marLeft w:val="0"/>
      <w:marRight w:val="0"/>
      <w:marTop w:val="0"/>
      <w:marBottom w:val="0"/>
      <w:divBdr>
        <w:top w:val="none" w:sz="0" w:space="0" w:color="auto"/>
        <w:left w:val="none" w:sz="0" w:space="0" w:color="auto"/>
        <w:bottom w:val="none" w:sz="0" w:space="0" w:color="auto"/>
        <w:right w:val="none" w:sz="0" w:space="0" w:color="auto"/>
      </w:divBdr>
    </w:div>
    <w:div w:id="1440221813">
      <w:bodyDiv w:val="1"/>
      <w:marLeft w:val="0"/>
      <w:marRight w:val="0"/>
      <w:marTop w:val="0"/>
      <w:marBottom w:val="0"/>
      <w:divBdr>
        <w:top w:val="none" w:sz="0" w:space="0" w:color="auto"/>
        <w:left w:val="none" w:sz="0" w:space="0" w:color="auto"/>
        <w:bottom w:val="none" w:sz="0" w:space="0" w:color="auto"/>
        <w:right w:val="none" w:sz="0" w:space="0" w:color="auto"/>
      </w:divBdr>
    </w:div>
    <w:div w:id="1716538161">
      <w:bodyDiv w:val="1"/>
      <w:marLeft w:val="0"/>
      <w:marRight w:val="0"/>
      <w:marTop w:val="0"/>
      <w:marBottom w:val="0"/>
      <w:divBdr>
        <w:top w:val="none" w:sz="0" w:space="0" w:color="auto"/>
        <w:left w:val="none" w:sz="0" w:space="0" w:color="auto"/>
        <w:bottom w:val="none" w:sz="0" w:space="0" w:color="auto"/>
        <w:right w:val="none" w:sz="0" w:space="0" w:color="auto"/>
      </w:divBdr>
    </w:div>
    <w:div w:id="179413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510F-0163-D949-84FB-86665F58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867</Words>
  <Characters>4947</Characters>
  <Application>Microsoft Macintosh Word</Application>
  <DocSecurity>0</DocSecurity>
  <Lines>41</Lines>
  <Paragraphs>9</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francesco chiavarini</cp:lastModifiedBy>
  <cp:revision>4</cp:revision>
  <cp:lastPrinted>2015-06-18T14:22:00Z</cp:lastPrinted>
  <dcterms:created xsi:type="dcterms:W3CDTF">2015-09-10T22:01:00Z</dcterms:created>
  <dcterms:modified xsi:type="dcterms:W3CDTF">2015-09-10T22:13:00Z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-652321728</vt:i4>
  </property>
</Properties>
</file>