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80B66" w14:textId="77777777" w:rsidR="006B1E9A" w:rsidRDefault="00000000">
      <w:pPr>
        <w:jc w:val="center"/>
        <w:rPr>
          <w:rFonts w:ascii="Comic Sans MS" w:eastAsia="Comic Sans MS" w:hAnsi="Comic Sans MS" w:cs="Comic Sans MS"/>
          <w:b/>
          <w:i/>
          <w:sz w:val="52"/>
          <w:szCs w:val="52"/>
        </w:rPr>
      </w:pPr>
      <w:r>
        <w:rPr>
          <w:rFonts w:ascii="Comic Sans MS" w:eastAsia="Comic Sans MS" w:hAnsi="Comic Sans MS" w:cs="Comic Sans MS"/>
          <w:b/>
          <w:i/>
          <w:sz w:val="52"/>
          <w:szCs w:val="52"/>
        </w:rPr>
        <w:t>SCHEDA DEL GIOCO</w:t>
      </w:r>
    </w:p>
    <w:p w14:paraId="049A3933" w14:textId="77777777" w:rsidR="006B1E9A" w:rsidRDefault="006B1E9A">
      <w:pPr>
        <w:jc w:val="center"/>
        <w:rPr>
          <w:rFonts w:ascii="Comic Sans MS" w:eastAsia="Comic Sans MS" w:hAnsi="Comic Sans MS" w:cs="Comic Sans MS"/>
          <w:b/>
          <w:i/>
          <w:sz w:val="20"/>
          <w:szCs w:val="20"/>
        </w:rPr>
      </w:pPr>
    </w:p>
    <w:tbl>
      <w:tblPr>
        <w:tblStyle w:val="a"/>
        <w:tblW w:w="100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783"/>
      </w:tblGrid>
      <w:tr w:rsidR="006B1E9A" w14:paraId="051F3C23" w14:textId="77777777">
        <w:trPr>
          <w:trHeight w:val="581"/>
          <w:jc w:val="center"/>
        </w:trPr>
        <w:tc>
          <w:tcPr>
            <w:tcW w:w="2263" w:type="dxa"/>
            <w:vAlign w:val="center"/>
          </w:tcPr>
          <w:p w14:paraId="2B9117A5" w14:textId="77777777" w:rsidR="006B1E9A" w:rsidRDefault="00000000">
            <w:pPr>
              <w:rPr>
                <w:rFonts w:ascii="Candara" w:eastAsia="Candara" w:hAnsi="Candara" w:cs="Candara"/>
                <w:b/>
                <w:i/>
                <w:sz w:val="24"/>
                <w:szCs w:val="24"/>
              </w:rPr>
            </w:pPr>
            <w:r>
              <w:rPr>
                <w:rFonts w:ascii="Candara" w:eastAsia="Candara" w:hAnsi="Candara" w:cs="Candara"/>
                <w:b/>
                <w:i/>
                <w:sz w:val="24"/>
                <w:szCs w:val="24"/>
              </w:rPr>
              <w:t>TITOLO</w:t>
            </w:r>
          </w:p>
        </w:tc>
        <w:tc>
          <w:tcPr>
            <w:tcW w:w="7783" w:type="dxa"/>
            <w:vAlign w:val="center"/>
          </w:tcPr>
          <w:p w14:paraId="7844DEAB" w14:textId="77777777" w:rsidR="006B1E9A" w:rsidRDefault="00000000">
            <w:r>
              <w:t>La luce dal Tabor…</w:t>
            </w:r>
          </w:p>
        </w:tc>
      </w:tr>
      <w:tr w:rsidR="006B1E9A" w14:paraId="66DF4189" w14:textId="77777777">
        <w:trPr>
          <w:trHeight w:val="581"/>
          <w:jc w:val="center"/>
        </w:trPr>
        <w:tc>
          <w:tcPr>
            <w:tcW w:w="2263" w:type="dxa"/>
            <w:vAlign w:val="center"/>
          </w:tcPr>
          <w:p w14:paraId="1A52C17D" w14:textId="77777777" w:rsidR="006B1E9A" w:rsidRDefault="00000000">
            <w:pPr>
              <w:rPr>
                <w:rFonts w:ascii="Candara" w:eastAsia="Candara" w:hAnsi="Candara" w:cs="Candara"/>
                <w:b/>
                <w:i/>
                <w:sz w:val="24"/>
                <w:szCs w:val="24"/>
              </w:rPr>
            </w:pPr>
            <w:r>
              <w:rPr>
                <w:rFonts w:ascii="Candara" w:eastAsia="Candara" w:hAnsi="Candara" w:cs="Candara"/>
                <w:b/>
                <w:i/>
                <w:sz w:val="24"/>
                <w:szCs w:val="24"/>
              </w:rPr>
              <w:t>TEMA DI RIFERIMENTO</w:t>
            </w:r>
          </w:p>
        </w:tc>
        <w:tc>
          <w:tcPr>
            <w:tcW w:w="7783" w:type="dxa"/>
            <w:vAlign w:val="center"/>
          </w:tcPr>
          <w:p w14:paraId="73D5A9C8" w14:textId="77777777" w:rsidR="006B1E9A" w:rsidRDefault="00000000">
            <w:pPr>
              <w:jc w:val="both"/>
            </w:pPr>
            <w:r>
              <w:t xml:space="preserve">Con Te! Cristiani. Anno 2 – Tappa 3. Brani: Trasfigurazione (Lc 9,28-36) e Preghiera del Padre Nostro (Mt 6,5-15). Temi: interiorità – fiducia – preghiera, entrare nel cuore di Dio. </w:t>
            </w:r>
          </w:p>
        </w:tc>
      </w:tr>
      <w:tr w:rsidR="006B1E9A" w14:paraId="15C9EE25" w14:textId="77777777">
        <w:trPr>
          <w:trHeight w:val="581"/>
          <w:jc w:val="center"/>
        </w:trPr>
        <w:tc>
          <w:tcPr>
            <w:tcW w:w="2263" w:type="dxa"/>
            <w:vAlign w:val="center"/>
          </w:tcPr>
          <w:p w14:paraId="1DE2038E" w14:textId="77777777" w:rsidR="006B1E9A" w:rsidRDefault="00000000">
            <w:pPr>
              <w:rPr>
                <w:rFonts w:ascii="Candara" w:eastAsia="Candara" w:hAnsi="Candara" w:cs="Candara"/>
                <w:b/>
                <w:i/>
                <w:sz w:val="24"/>
                <w:szCs w:val="24"/>
              </w:rPr>
            </w:pPr>
            <w:r>
              <w:rPr>
                <w:rFonts w:ascii="Candara" w:eastAsia="Candara" w:hAnsi="Candara" w:cs="Candara"/>
                <w:b/>
                <w:i/>
                <w:sz w:val="24"/>
                <w:szCs w:val="24"/>
              </w:rPr>
              <w:t>TIPO DI GIOCO</w:t>
            </w:r>
          </w:p>
        </w:tc>
        <w:tc>
          <w:tcPr>
            <w:tcW w:w="7783" w:type="dxa"/>
            <w:vAlign w:val="center"/>
          </w:tcPr>
          <w:p w14:paraId="02AF2FD0" w14:textId="77777777" w:rsidR="006B1E9A" w:rsidRDefault="00000000">
            <w:pPr>
              <w:jc w:val="both"/>
            </w:pPr>
            <w:r>
              <w:t xml:space="preserve">Staffetta; competizione. </w:t>
            </w:r>
          </w:p>
        </w:tc>
      </w:tr>
      <w:tr w:rsidR="006B1E9A" w14:paraId="5666F38C" w14:textId="77777777">
        <w:trPr>
          <w:trHeight w:val="588"/>
          <w:jc w:val="center"/>
        </w:trPr>
        <w:tc>
          <w:tcPr>
            <w:tcW w:w="2263" w:type="dxa"/>
            <w:vAlign w:val="center"/>
          </w:tcPr>
          <w:p w14:paraId="7EC1C207" w14:textId="77777777" w:rsidR="006B1E9A" w:rsidRDefault="00000000">
            <w:pPr>
              <w:rPr>
                <w:rFonts w:ascii="Candara" w:eastAsia="Candara" w:hAnsi="Candara" w:cs="Candara"/>
                <w:b/>
                <w:i/>
                <w:sz w:val="24"/>
                <w:szCs w:val="24"/>
              </w:rPr>
            </w:pPr>
            <w:r>
              <w:rPr>
                <w:rFonts w:ascii="Candara" w:eastAsia="Candara" w:hAnsi="Candara" w:cs="Candara"/>
                <w:b/>
                <w:i/>
                <w:sz w:val="24"/>
                <w:szCs w:val="24"/>
              </w:rPr>
              <w:t>DESTINATARI (età)</w:t>
            </w:r>
          </w:p>
        </w:tc>
        <w:tc>
          <w:tcPr>
            <w:tcW w:w="7783" w:type="dxa"/>
            <w:vAlign w:val="center"/>
          </w:tcPr>
          <w:p w14:paraId="6A3D8D69" w14:textId="77777777" w:rsidR="006B1E9A" w:rsidRDefault="00000000">
            <w:r>
              <w:t>8-11 anni</w:t>
            </w:r>
          </w:p>
        </w:tc>
      </w:tr>
      <w:tr w:rsidR="006B1E9A" w14:paraId="0B11097A" w14:textId="77777777">
        <w:trPr>
          <w:trHeight w:val="588"/>
          <w:jc w:val="center"/>
        </w:trPr>
        <w:tc>
          <w:tcPr>
            <w:tcW w:w="2263" w:type="dxa"/>
            <w:vAlign w:val="center"/>
          </w:tcPr>
          <w:p w14:paraId="469A2C1C" w14:textId="77777777" w:rsidR="006B1E9A" w:rsidRDefault="00000000">
            <w:pPr>
              <w:rPr>
                <w:rFonts w:ascii="Candara" w:eastAsia="Candara" w:hAnsi="Candara" w:cs="Candara"/>
                <w:b/>
                <w:i/>
                <w:sz w:val="24"/>
                <w:szCs w:val="24"/>
              </w:rPr>
            </w:pPr>
            <w:r>
              <w:rPr>
                <w:rFonts w:ascii="Candara" w:eastAsia="Candara" w:hAnsi="Candara" w:cs="Candara"/>
                <w:b/>
                <w:i/>
                <w:sz w:val="24"/>
                <w:szCs w:val="24"/>
              </w:rPr>
              <w:t>PARTECIPANTI</w:t>
            </w:r>
          </w:p>
        </w:tc>
        <w:tc>
          <w:tcPr>
            <w:tcW w:w="7783" w:type="dxa"/>
            <w:vAlign w:val="center"/>
          </w:tcPr>
          <w:p w14:paraId="239AF761" w14:textId="77777777" w:rsidR="006B1E9A" w:rsidRDefault="00000000">
            <w:r>
              <w:t>Massimo 20; divisi in due squadre.</w:t>
            </w:r>
          </w:p>
        </w:tc>
      </w:tr>
      <w:tr w:rsidR="006B1E9A" w14:paraId="1C844A3C" w14:textId="77777777">
        <w:trPr>
          <w:trHeight w:val="837"/>
          <w:jc w:val="center"/>
        </w:trPr>
        <w:tc>
          <w:tcPr>
            <w:tcW w:w="2263" w:type="dxa"/>
            <w:vAlign w:val="center"/>
          </w:tcPr>
          <w:p w14:paraId="27A53A81" w14:textId="77777777" w:rsidR="006B1E9A" w:rsidRDefault="00000000">
            <w:pPr>
              <w:rPr>
                <w:rFonts w:ascii="Candara" w:eastAsia="Candara" w:hAnsi="Candara" w:cs="Candara"/>
                <w:b/>
                <w:i/>
                <w:sz w:val="24"/>
                <w:szCs w:val="24"/>
              </w:rPr>
            </w:pPr>
            <w:r>
              <w:rPr>
                <w:rFonts w:ascii="Candara" w:eastAsia="Candara" w:hAnsi="Candara" w:cs="Candara"/>
                <w:b/>
                <w:i/>
                <w:sz w:val="24"/>
                <w:szCs w:val="24"/>
              </w:rPr>
              <w:t>OBIETTIVO</w:t>
            </w:r>
          </w:p>
        </w:tc>
        <w:tc>
          <w:tcPr>
            <w:tcW w:w="7783" w:type="dxa"/>
            <w:vAlign w:val="center"/>
          </w:tcPr>
          <w:p w14:paraId="08C22EA6" w14:textId="77777777" w:rsidR="006B1E9A" w:rsidRDefault="00000000">
            <w:r>
              <w:t xml:space="preserve">Fare il percorso richiesto nel minor tempo possibile.  </w:t>
            </w:r>
          </w:p>
        </w:tc>
      </w:tr>
      <w:tr w:rsidR="006B1E9A" w14:paraId="081554B6" w14:textId="77777777">
        <w:trPr>
          <w:trHeight w:val="837"/>
          <w:jc w:val="center"/>
        </w:trPr>
        <w:tc>
          <w:tcPr>
            <w:tcW w:w="2263" w:type="dxa"/>
            <w:vAlign w:val="center"/>
          </w:tcPr>
          <w:p w14:paraId="1A208E8E" w14:textId="77777777" w:rsidR="006B1E9A" w:rsidRDefault="00000000">
            <w:pPr>
              <w:rPr>
                <w:rFonts w:ascii="Candara" w:eastAsia="Candara" w:hAnsi="Candara" w:cs="Candara"/>
                <w:b/>
                <w:i/>
                <w:sz w:val="24"/>
                <w:szCs w:val="24"/>
              </w:rPr>
            </w:pPr>
            <w:r>
              <w:rPr>
                <w:rFonts w:ascii="Candara" w:eastAsia="Candara" w:hAnsi="Candara" w:cs="Candara"/>
                <w:b/>
                <w:i/>
                <w:sz w:val="24"/>
                <w:szCs w:val="24"/>
              </w:rPr>
              <w:t>DESCRIZIONE</w:t>
            </w:r>
            <w:r>
              <w:rPr>
                <w:rFonts w:ascii="Candara" w:eastAsia="Candara" w:hAnsi="Candara" w:cs="Candara"/>
                <w:b/>
                <w:sz w:val="24"/>
                <w:szCs w:val="24"/>
              </w:rPr>
              <w:t xml:space="preserve"> </w:t>
            </w:r>
          </w:p>
        </w:tc>
        <w:tc>
          <w:tcPr>
            <w:tcW w:w="7783" w:type="dxa"/>
            <w:vAlign w:val="center"/>
          </w:tcPr>
          <w:p w14:paraId="6E099E3F" w14:textId="5F6CB48A" w:rsidR="006B1E9A" w:rsidRDefault="00000000">
            <w:pPr>
              <w:jc w:val="both"/>
            </w:pPr>
            <w:r>
              <w:t>Ci si divide in due squadre: i discepoli e i disturbatori. I discepoli devono fare un percorso a gincana con in mano un lumino spento ed entrare in una stanza buia con una sorgente di luce luminosissima vicino alla quale c’è una candela con scritto “Tabor”. Si attinge la luce dalla candela. Da qui bisogna arrivare all’ingresso della</w:t>
            </w:r>
            <w:r w:rsidR="00AF3845">
              <w:t xml:space="preserve"> Chiesa o della</w:t>
            </w:r>
            <w:r>
              <w:t xml:space="preserve"> cappella</w:t>
            </w:r>
            <w:r w:rsidR="00AF3845">
              <w:t xml:space="preserve"> dell’oratorio</w:t>
            </w:r>
            <w:r>
              <w:t xml:space="preserve"> (o di una sala ad hoc) proteggendo la propria luce dai disturbatori: essi hanno appeso al collo un cartello con scritto “chiusura del cuore”, sono disposti ai lati del passaggio tra la stanza buia e la zona antistante la cappella (segnare le delimitazioni in modo che siano un po’ distanti da coloro che passano con la luce) e devono soffiare per far spegnere la candela di chi passa. </w:t>
            </w:r>
          </w:p>
          <w:p w14:paraId="0208CDBA" w14:textId="4A3B7245" w:rsidR="006B1E9A" w:rsidRDefault="00000000">
            <w:pPr>
              <w:jc w:val="both"/>
            </w:pPr>
            <w:r>
              <w:t xml:space="preserve">Se la candela si spegne, si può tornare indietro ad attingerla nuovamente. Chi è arrivato alla fine e ha deposto la luce all’ingresso della cappella, guadagna un cartello da appendere al collo con scritto “apertura del cuore” e può tornare sul percorso e aiutare i propri compagni facendo da schermo con il proprio corpo. Quando tutta la squadra ha portato la candela, si stoppa il tempo. </w:t>
            </w:r>
          </w:p>
          <w:p w14:paraId="26C90F32" w14:textId="77777777" w:rsidR="006B1E9A" w:rsidRDefault="00000000">
            <w:pPr>
              <w:jc w:val="both"/>
            </w:pPr>
            <w:r>
              <w:t xml:space="preserve">A questo punto si invertono le squadre e si prende anche il tempo dell’altra. </w:t>
            </w:r>
          </w:p>
          <w:p w14:paraId="0A58B49B" w14:textId="77777777" w:rsidR="006B1E9A" w:rsidRDefault="00000000">
            <w:pPr>
              <w:jc w:val="both"/>
            </w:pPr>
            <w:r>
              <w:t xml:space="preserve">Alla fine, non si dice subito chi ha vinto e si entra in Chiesa e si depongono tutte le luci davanti alla Croce illuminando la preghiera del </w:t>
            </w:r>
            <w:r>
              <w:rPr>
                <w:i/>
              </w:rPr>
              <w:t>Padre nostro</w:t>
            </w:r>
            <w:r>
              <w:t xml:space="preserve"> precedentemente preparata. Qui si può fare una rilettura condivisa del gioco, compreso il fatto che, a prescindere da chi ci ha messo di meno o di più, tutti sono arrivati con la propria luce davanti alla croce. Alla fine, si consegna la preghiera del Padre nostro e la si prega tutti insieme. </w:t>
            </w:r>
          </w:p>
        </w:tc>
      </w:tr>
      <w:tr w:rsidR="006B1E9A" w14:paraId="31F19AE6" w14:textId="77777777">
        <w:trPr>
          <w:trHeight w:val="1737"/>
          <w:jc w:val="center"/>
        </w:trPr>
        <w:tc>
          <w:tcPr>
            <w:tcW w:w="2263" w:type="dxa"/>
            <w:vAlign w:val="center"/>
          </w:tcPr>
          <w:p w14:paraId="355F78A6" w14:textId="77777777" w:rsidR="006B1E9A" w:rsidRDefault="00000000">
            <w:pPr>
              <w:rPr>
                <w:rFonts w:ascii="Candara" w:eastAsia="Candara" w:hAnsi="Candara" w:cs="Candara"/>
                <w:b/>
                <w:i/>
                <w:sz w:val="24"/>
                <w:szCs w:val="24"/>
              </w:rPr>
            </w:pPr>
            <w:r>
              <w:rPr>
                <w:rFonts w:ascii="Candara" w:eastAsia="Candara" w:hAnsi="Candara" w:cs="Candara"/>
                <w:b/>
                <w:sz w:val="24"/>
                <w:szCs w:val="24"/>
              </w:rPr>
              <w:t>REGOLE</w:t>
            </w:r>
          </w:p>
        </w:tc>
        <w:tc>
          <w:tcPr>
            <w:tcW w:w="7783" w:type="dxa"/>
            <w:vAlign w:val="center"/>
          </w:tcPr>
          <w:p w14:paraId="2AA44A6D" w14:textId="77777777" w:rsidR="006B1E9A" w:rsidRDefault="00000000">
            <w:pPr>
              <w:jc w:val="both"/>
            </w:pPr>
            <w:r>
              <w:t xml:space="preserve">È necessario seguire il percorso indicato, sia per andare ad accendere il lumino, sia per portarlo davanti alla cappella. </w:t>
            </w:r>
          </w:p>
          <w:p w14:paraId="7BC8146E" w14:textId="77777777" w:rsidR="006B1E9A" w:rsidRDefault="00000000">
            <w:pPr>
              <w:jc w:val="both"/>
            </w:pPr>
            <w:r>
              <w:t xml:space="preserve">Si può attingere la luce quante volte si vuole, se essa si spegne. </w:t>
            </w:r>
          </w:p>
          <w:p w14:paraId="45C4C230" w14:textId="77777777" w:rsidR="006B1E9A" w:rsidRDefault="00000000">
            <w:pPr>
              <w:jc w:val="both"/>
            </w:pPr>
            <w:r>
              <w:t>I disturbatori non possono superare le linee di delimitazione del corridoio di passaggio.</w:t>
            </w:r>
          </w:p>
          <w:p w14:paraId="285A7971" w14:textId="77777777" w:rsidR="006B1E9A" w:rsidRDefault="00000000">
            <w:pPr>
              <w:jc w:val="both"/>
            </w:pPr>
            <w:r>
              <w:t xml:space="preserve">Chi è arrivato alla fine e guadagna il cartello “apertura del cuore” può aiutare i componenti della propria squadra.  </w:t>
            </w:r>
          </w:p>
        </w:tc>
      </w:tr>
      <w:tr w:rsidR="006B1E9A" w14:paraId="3597B545" w14:textId="77777777">
        <w:trPr>
          <w:trHeight w:val="581"/>
          <w:jc w:val="center"/>
        </w:trPr>
        <w:tc>
          <w:tcPr>
            <w:tcW w:w="2263" w:type="dxa"/>
            <w:vAlign w:val="center"/>
          </w:tcPr>
          <w:p w14:paraId="1CD041E6" w14:textId="77777777" w:rsidR="006B1E9A" w:rsidRDefault="00000000">
            <w:pPr>
              <w:rPr>
                <w:rFonts w:ascii="Candara" w:eastAsia="Candara" w:hAnsi="Candara" w:cs="Candara"/>
                <w:b/>
                <w:i/>
                <w:sz w:val="24"/>
                <w:szCs w:val="24"/>
              </w:rPr>
            </w:pPr>
            <w:r>
              <w:rPr>
                <w:rFonts w:ascii="Candara" w:eastAsia="Candara" w:hAnsi="Candara" w:cs="Candara"/>
                <w:b/>
                <w:i/>
                <w:sz w:val="24"/>
                <w:szCs w:val="24"/>
              </w:rPr>
              <w:t>SPAZI</w:t>
            </w:r>
          </w:p>
        </w:tc>
        <w:tc>
          <w:tcPr>
            <w:tcW w:w="7783" w:type="dxa"/>
            <w:vAlign w:val="center"/>
          </w:tcPr>
          <w:p w14:paraId="7C7CCDF2" w14:textId="77777777" w:rsidR="006B1E9A" w:rsidRDefault="00000000">
            <w:r>
              <w:t xml:space="preserve">Una sala “Tabor” dove si può creare il buio. </w:t>
            </w:r>
          </w:p>
          <w:p w14:paraId="5AF5C25C" w14:textId="77777777" w:rsidR="006B1E9A" w:rsidRDefault="00000000">
            <w:r>
              <w:t>La cappella dell’oratorio (o una sala adibita alla preghiera)</w:t>
            </w:r>
          </w:p>
          <w:p w14:paraId="212E3098" w14:textId="77777777" w:rsidR="006B1E9A" w:rsidRDefault="00000000">
            <w:r>
              <w:t>Uno spazio abbastanza ampio tra la sala e la cappella.</w:t>
            </w:r>
          </w:p>
          <w:p w14:paraId="040B03A6" w14:textId="77777777" w:rsidR="006B1E9A" w:rsidRDefault="00000000">
            <w:r>
              <w:t xml:space="preserve">Uno spazio abbastanza ampio che precede la sala “Tabor” per la gincana. </w:t>
            </w:r>
          </w:p>
        </w:tc>
      </w:tr>
      <w:tr w:rsidR="006B1E9A" w14:paraId="04DB97E8" w14:textId="77777777">
        <w:trPr>
          <w:trHeight w:val="1778"/>
          <w:jc w:val="center"/>
        </w:trPr>
        <w:tc>
          <w:tcPr>
            <w:tcW w:w="2263" w:type="dxa"/>
            <w:vAlign w:val="center"/>
          </w:tcPr>
          <w:p w14:paraId="1811FA3A" w14:textId="77777777" w:rsidR="006B1E9A" w:rsidRDefault="00000000">
            <w:pPr>
              <w:rPr>
                <w:rFonts w:ascii="Candara" w:eastAsia="Candara" w:hAnsi="Candara" w:cs="Candara"/>
                <w:b/>
                <w:i/>
                <w:sz w:val="24"/>
                <w:szCs w:val="24"/>
              </w:rPr>
            </w:pPr>
            <w:r>
              <w:rPr>
                <w:rFonts w:ascii="Candara" w:eastAsia="Candara" w:hAnsi="Candara" w:cs="Candara"/>
                <w:b/>
                <w:i/>
                <w:sz w:val="24"/>
                <w:szCs w:val="24"/>
              </w:rPr>
              <w:lastRenderedPageBreak/>
              <w:t>MATERIALE</w:t>
            </w:r>
          </w:p>
        </w:tc>
        <w:tc>
          <w:tcPr>
            <w:tcW w:w="7783" w:type="dxa"/>
            <w:vAlign w:val="center"/>
          </w:tcPr>
          <w:p w14:paraId="04B9349A" w14:textId="77777777" w:rsidR="006B1E9A" w:rsidRDefault="00000000">
            <w:r>
              <w:t xml:space="preserve">Materiale per la gincana. </w:t>
            </w:r>
          </w:p>
          <w:p w14:paraId="5023ADE5" w14:textId="77777777" w:rsidR="006B1E9A" w:rsidRDefault="00000000">
            <w:r>
              <w:t xml:space="preserve">Luce molto forte nella stanza buia, con a fianco una candela. </w:t>
            </w:r>
          </w:p>
          <w:p w14:paraId="03D2FBA4" w14:textId="77777777" w:rsidR="006B1E9A" w:rsidRDefault="00000000">
            <w:r>
              <w:t xml:space="preserve">20 lumini. </w:t>
            </w:r>
          </w:p>
          <w:p w14:paraId="500C8710" w14:textId="77777777" w:rsidR="006B1E9A" w:rsidRDefault="00000000">
            <w:r>
              <w:t>Max. 10 cartelli “chiusura del cuore”; max. 9 cartelli “apertura del cuore”</w:t>
            </w:r>
          </w:p>
          <w:p w14:paraId="0BA64B68" w14:textId="77777777" w:rsidR="006B1E9A" w:rsidRDefault="00000000">
            <w:r>
              <w:t xml:space="preserve">Preghiera del Padre nostro in grande da posizionare sotto la croce. </w:t>
            </w:r>
          </w:p>
          <w:p w14:paraId="05A7790D" w14:textId="77777777" w:rsidR="006B1E9A" w:rsidRDefault="00000000">
            <w:r>
              <w:t>Foglietti con preghiera del Padre nostro (max. 20).</w:t>
            </w:r>
          </w:p>
        </w:tc>
      </w:tr>
      <w:tr w:rsidR="006B1E9A" w14:paraId="3DA252C0" w14:textId="77777777">
        <w:trPr>
          <w:trHeight w:val="874"/>
          <w:jc w:val="center"/>
        </w:trPr>
        <w:tc>
          <w:tcPr>
            <w:tcW w:w="2263" w:type="dxa"/>
            <w:vAlign w:val="center"/>
          </w:tcPr>
          <w:p w14:paraId="775F4AE3" w14:textId="77777777" w:rsidR="006B1E9A" w:rsidRDefault="00000000">
            <w:pPr>
              <w:rPr>
                <w:rFonts w:ascii="Candara" w:eastAsia="Candara" w:hAnsi="Candara" w:cs="Candara"/>
                <w:b/>
                <w:i/>
                <w:sz w:val="24"/>
                <w:szCs w:val="24"/>
              </w:rPr>
            </w:pPr>
            <w:r>
              <w:rPr>
                <w:rFonts w:ascii="Candara" w:eastAsia="Candara" w:hAnsi="Candara" w:cs="Candara"/>
                <w:b/>
                <w:i/>
                <w:sz w:val="24"/>
                <w:szCs w:val="24"/>
              </w:rPr>
              <w:t>DURATA</w:t>
            </w:r>
          </w:p>
        </w:tc>
        <w:tc>
          <w:tcPr>
            <w:tcW w:w="7783" w:type="dxa"/>
            <w:vAlign w:val="center"/>
          </w:tcPr>
          <w:p w14:paraId="1DC8DBBB" w14:textId="77777777" w:rsidR="006B1E9A" w:rsidRDefault="00000000">
            <w:r>
              <w:t xml:space="preserve">Minimo 30’. Con la rilettura condivisa e la preghiera anche 45’. </w:t>
            </w:r>
          </w:p>
        </w:tc>
      </w:tr>
      <w:tr w:rsidR="006B1E9A" w14:paraId="43D27DAA" w14:textId="77777777">
        <w:trPr>
          <w:trHeight w:val="1696"/>
          <w:jc w:val="center"/>
        </w:trPr>
        <w:tc>
          <w:tcPr>
            <w:tcW w:w="2263" w:type="dxa"/>
            <w:vAlign w:val="center"/>
          </w:tcPr>
          <w:p w14:paraId="174D63F9" w14:textId="77777777" w:rsidR="006B1E9A" w:rsidRDefault="00000000">
            <w:pPr>
              <w:rPr>
                <w:rFonts w:ascii="Candara" w:eastAsia="Candara" w:hAnsi="Candara" w:cs="Candara"/>
                <w:b/>
                <w:i/>
                <w:sz w:val="24"/>
                <w:szCs w:val="24"/>
              </w:rPr>
            </w:pPr>
            <w:r>
              <w:rPr>
                <w:rFonts w:ascii="Candara" w:eastAsia="Candara" w:hAnsi="Candara" w:cs="Candara"/>
                <w:b/>
                <w:i/>
                <w:sz w:val="24"/>
                <w:szCs w:val="24"/>
              </w:rPr>
              <w:t>DISTRIBUZIONE</w:t>
            </w:r>
          </w:p>
          <w:p w14:paraId="0F01013B" w14:textId="77777777" w:rsidR="006B1E9A" w:rsidRDefault="00000000">
            <w:pPr>
              <w:rPr>
                <w:rFonts w:ascii="Candara" w:eastAsia="Candara" w:hAnsi="Candara" w:cs="Candara"/>
                <w:b/>
                <w:i/>
                <w:sz w:val="24"/>
                <w:szCs w:val="24"/>
              </w:rPr>
            </w:pPr>
            <w:r>
              <w:rPr>
                <w:rFonts w:ascii="Candara" w:eastAsia="Candara" w:hAnsi="Candara" w:cs="Candara"/>
                <w:b/>
                <w:i/>
                <w:sz w:val="24"/>
                <w:szCs w:val="24"/>
              </w:rPr>
              <w:t>COMPITI E RUOLI</w:t>
            </w:r>
          </w:p>
        </w:tc>
        <w:tc>
          <w:tcPr>
            <w:tcW w:w="7783" w:type="dxa"/>
            <w:vAlign w:val="center"/>
          </w:tcPr>
          <w:p w14:paraId="3498E9A2" w14:textId="77777777" w:rsidR="006B1E9A" w:rsidRDefault="00000000">
            <w:pPr>
              <w:numPr>
                <w:ilvl w:val="0"/>
                <w:numId w:val="1"/>
              </w:numPr>
              <w:pBdr>
                <w:top w:val="nil"/>
                <w:left w:val="nil"/>
                <w:bottom w:val="nil"/>
                <w:right w:val="nil"/>
                <w:between w:val="nil"/>
              </w:pBdr>
              <w:spacing w:line="259" w:lineRule="auto"/>
            </w:pPr>
            <w:r>
              <w:rPr>
                <w:color w:val="000000"/>
              </w:rPr>
              <w:t xml:space="preserve">Preparazione e posizionamento gincana </w:t>
            </w:r>
          </w:p>
          <w:p w14:paraId="6947C457" w14:textId="77777777" w:rsidR="006B1E9A" w:rsidRDefault="00000000">
            <w:pPr>
              <w:numPr>
                <w:ilvl w:val="0"/>
                <w:numId w:val="1"/>
              </w:numPr>
              <w:pBdr>
                <w:top w:val="nil"/>
                <w:left w:val="nil"/>
                <w:bottom w:val="nil"/>
                <w:right w:val="nil"/>
                <w:between w:val="nil"/>
              </w:pBdr>
              <w:spacing w:line="259" w:lineRule="auto"/>
            </w:pPr>
            <w:r>
              <w:rPr>
                <w:color w:val="000000"/>
              </w:rPr>
              <w:t xml:space="preserve">Preparazione e posizionamento luce e candela e scritta “Tabor”, </w:t>
            </w:r>
          </w:p>
          <w:p w14:paraId="01442B4E" w14:textId="77777777" w:rsidR="006B1E9A" w:rsidRDefault="00000000">
            <w:pPr>
              <w:numPr>
                <w:ilvl w:val="0"/>
                <w:numId w:val="1"/>
              </w:numPr>
              <w:pBdr>
                <w:top w:val="nil"/>
                <w:left w:val="nil"/>
                <w:bottom w:val="nil"/>
                <w:right w:val="nil"/>
                <w:between w:val="nil"/>
              </w:pBdr>
              <w:spacing w:line="259" w:lineRule="auto"/>
            </w:pPr>
            <w:r>
              <w:rPr>
                <w:color w:val="000000"/>
              </w:rPr>
              <w:t xml:space="preserve">Preparazione e posizionamento croce e </w:t>
            </w:r>
            <w:r w:rsidRPr="00AF3845">
              <w:rPr>
                <w:i/>
                <w:iCs/>
                <w:color w:val="000000"/>
              </w:rPr>
              <w:t>Padre nostro</w:t>
            </w:r>
            <w:r>
              <w:rPr>
                <w:color w:val="000000"/>
              </w:rPr>
              <w:t xml:space="preserve"> in grande e foglietti del </w:t>
            </w:r>
            <w:r w:rsidRPr="00AF3845">
              <w:rPr>
                <w:i/>
                <w:iCs/>
                <w:color w:val="000000"/>
              </w:rPr>
              <w:t>Padre nostro</w:t>
            </w:r>
            <w:r>
              <w:rPr>
                <w:color w:val="000000"/>
              </w:rPr>
              <w:t xml:space="preserve"> per ogni partecipante</w:t>
            </w:r>
          </w:p>
          <w:p w14:paraId="2F3DFFD1" w14:textId="77777777" w:rsidR="006B1E9A" w:rsidRDefault="00000000">
            <w:pPr>
              <w:numPr>
                <w:ilvl w:val="0"/>
                <w:numId w:val="1"/>
              </w:numPr>
              <w:pBdr>
                <w:top w:val="nil"/>
                <w:left w:val="nil"/>
                <w:bottom w:val="nil"/>
                <w:right w:val="nil"/>
                <w:between w:val="nil"/>
              </w:pBdr>
              <w:spacing w:line="259" w:lineRule="auto"/>
            </w:pPr>
            <w:r>
              <w:rPr>
                <w:color w:val="000000"/>
              </w:rPr>
              <w:t>Preparazione cartelli “chiusura del cuore” e “apertura del cuore”</w:t>
            </w:r>
          </w:p>
          <w:p w14:paraId="788BBC68" w14:textId="77777777" w:rsidR="006B1E9A" w:rsidRDefault="00000000">
            <w:pPr>
              <w:numPr>
                <w:ilvl w:val="0"/>
                <w:numId w:val="1"/>
              </w:numPr>
              <w:pBdr>
                <w:top w:val="nil"/>
                <w:left w:val="nil"/>
                <w:bottom w:val="nil"/>
                <w:right w:val="nil"/>
                <w:between w:val="nil"/>
              </w:pBdr>
              <w:spacing w:line="259" w:lineRule="auto"/>
            </w:pPr>
            <w:r>
              <w:rPr>
                <w:color w:val="000000"/>
              </w:rPr>
              <w:t>Preparazione 20 lumini</w:t>
            </w:r>
          </w:p>
          <w:p w14:paraId="23C7D210" w14:textId="77777777" w:rsidR="006B1E9A" w:rsidRDefault="00000000">
            <w:pPr>
              <w:numPr>
                <w:ilvl w:val="0"/>
                <w:numId w:val="1"/>
              </w:numPr>
              <w:pBdr>
                <w:top w:val="nil"/>
                <w:left w:val="nil"/>
                <w:bottom w:val="nil"/>
                <w:right w:val="nil"/>
                <w:between w:val="nil"/>
              </w:pBdr>
              <w:spacing w:after="160" w:line="259" w:lineRule="auto"/>
            </w:pPr>
            <w:r>
              <w:rPr>
                <w:color w:val="000000"/>
              </w:rPr>
              <w:t>Monitoraggio dello svolgimento</w:t>
            </w:r>
          </w:p>
        </w:tc>
      </w:tr>
      <w:tr w:rsidR="006B1E9A" w14:paraId="1204C4C8" w14:textId="77777777">
        <w:trPr>
          <w:trHeight w:val="1290"/>
          <w:jc w:val="center"/>
        </w:trPr>
        <w:tc>
          <w:tcPr>
            <w:tcW w:w="2263" w:type="dxa"/>
            <w:vAlign w:val="center"/>
          </w:tcPr>
          <w:p w14:paraId="7D2BB207" w14:textId="77777777" w:rsidR="006B1E9A" w:rsidRDefault="00000000">
            <w:pPr>
              <w:rPr>
                <w:rFonts w:ascii="Candara" w:eastAsia="Candara" w:hAnsi="Candara" w:cs="Candara"/>
                <w:b/>
                <w:i/>
                <w:sz w:val="24"/>
                <w:szCs w:val="24"/>
              </w:rPr>
            </w:pPr>
            <w:r>
              <w:rPr>
                <w:rFonts w:ascii="Candara" w:eastAsia="Candara" w:hAnsi="Candara" w:cs="Candara"/>
                <w:b/>
                <w:i/>
                <w:sz w:val="24"/>
                <w:szCs w:val="24"/>
              </w:rPr>
              <w:t>NOTE AGGIUNTIVE</w:t>
            </w:r>
          </w:p>
        </w:tc>
        <w:tc>
          <w:tcPr>
            <w:tcW w:w="7783" w:type="dxa"/>
            <w:vAlign w:val="center"/>
          </w:tcPr>
          <w:p w14:paraId="1059BD7E" w14:textId="77777777" w:rsidR="006B1E9A" w:rsidRDefault="00000000">
            <w:pPr>
              <w:jc w:val="both"/>
            </w:pPr>
            <w:r>
              <w:t xml:space="preserve">NOTA BENE: Il brano della Trasfigurazione deve essere già stato affrontato e si può introdurre così la preghiera del Padre nostro. </w:t>
            </w:r>
          </w:p>
          <w:p w14:paraId="5DC7437E" w14:textId="77777777" w:rsidR="006B1E9A" w:rsidRDefault="006B1E9A"/>
          <w:p w14:paraId="407525DF" w14:textId="77777777" w:rsidR="006B1E9A" w:rsidRDefault="00000000">
            <w:r>
              <w:t xml:space="preserve">MODIFICA: Si può fare dividere il gioco in due parti, spezzando il percorso in “prima del Tabor” e “dopo il Tabor”. La gincana rappresenta la salita e si può vedere chi finisce prima. Poi si può entrare nella stanza buia e rileggere il brano della Trasfigurazione. Segue l’accensione dei lumini e parte la seconda sezione del gioco. Così il tutto dura 1 ora. </w:t>
            </w:r>
          </w:p>
          <w:p w14:paraId="693AA178" w14:textId="77777777" w:rsidR="006B1E9A" w:rsidRDefault="006B1E9A"/>
          <w:p w14:paraId="0951610C" w14:textId="77777777" w:rsidR="006B1E9A" w:rsidRDefault="00000000">
            <w:r>
              <w:t>Altri brani collegati: quelli in cui Gesù si ritira sul monte a pregare.</w:t>
            </w:r>
          </w:p>
        </w:tc>
      </w:tr>
    </w:tbl>
    <w:p w14:paraId="5BFDE1B4" w14:textId="77777777" w:rsidR="006B1E9A" w:rsidRDefault="006B1E9A"/>
    <w:p w14:paraId="35C8A74F" w14:textId="5FFB36D1" w:rsidR="006B1E9A" w:rsidRDefault="006B1E9A"/>
    <w:sectPr w:rsidR="006B1E9A">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61C3F182-A9AC-43FE-9EC1-4F55E3096A41}"/>
    <w:embedBold r:id="rId2" w:fontKey="{AA54FF03-6528-4D52-A48E-FF11E19AAC79}"/>
    <w:embedItalic r:id="rId3" w:fontKey="{A6D848E5-97EE-43D9-8B5A-B004CB6D605A}"/>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4" w:fontKey="{39DBC8AD-B27E-4FB8-B569-AEFE4C63F30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51B62F95-B243-4EF4-B5CC-89709F354B75}"/>
    <w:embedItalic r:id="rId6" w:fontKey="{B41AD847-7D7A-4E13-9C1E-109A8362A00E}"/>
  </w:font>
  <w:font w:name="Comic Sans MS">
    <w:panose1 w:val="030F0702030302020204"/>
    <w:charset w:val="00"/>
    <w:family w:val="script"/>
    <w:pitch w:val="variable"/>
    <w:sig w:usb0="00000687" w:usb1="00000013" w:usb2="00000000" w:usb3="00000000" w:csb0="0000009F" w:csb1="00000000"/>
    <w:embedRegular r:id="rId7" w:fontKey="{23214A2D-88EB-4368-8587-7A94A6727036}"/>
    <w:embedBoldItalic r:id="rId8" w:fontKey="{7D50C804-9381-4248-9ADA-E5704A2EDA39}"/>
  </w:font>
  <w:font w:name="Candara">
    <w:panose1 w:val="020E0502030303020204"/>
    <w:charset w:val="00"/>
    <w:family w:val="swiss"/>
    <w:pitch w:val="variable"/>
    <w:sig w:usb0="A00002EF" w:usb1="4000A44B" w:usb2="00000000" w:usb3="00000000" w:csb0="0000019F" w:csb1="00000000"/>
    <w:embedRegular r:id="rId9" w:fontKey="{2254ACD3-BF60-4F75-905B-91CA5B753575}"/>
    <w:embedBold r:id="rId10" w:fontKey="{D8054BB2-9D16-4561-948E-74B41413C8FE}"/>
    <w:embedBoldItalic r:id="rId11" w:fontKey="{F838754B-5E20-48B4-A930-9AA43D1F8503}"/>
  </w:font>
  <w:font w:name="Calibri Light">
    <w:panose1 w:val="020F0302020204030204"/>
    <w:charset w:val="00"/>
    <w:family w:val="swiss"/>
    <w:pitch w:val="variable"/>
    <w:sig w:usb0="E4002EFF" w:usb1="C200247B" w:usb2="00000009" w:usb3="00000000" w:csb0="000001FF" w:csb1="00000000"/>
    <w:embedRegular r:id="rId12" w:fontKey="{0BB23270-7ADB-41D5-B155-DEF2424D55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AD49E7"/>
    <w:multiLevelType w:val="multilevel"/>
    <w:tmpl w:val="E0769674"/>
    <w:lvl w:ilvl="0">
      <w:start w:val="2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3794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E9A"/>
    <w:rsid w:val="003553B6"/>
    <w:rsid w:val="006B1E9A"/>
    <w:rsid w:val="007219A2"/>
    <w:rsid w:val="009C28F5"/>
    <w:rsid w:val="00AF3845"/>
    <w:rsid w:val="00F7236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17FC963"/>
  <w15:docId w15:val="{71028F2B-C8F0-8941-A89C-CE78ACDD6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styleId="Grigliatabella">
    <w:name w:val="Table Grid"/>
    <w:basedOn w:val="Tabellanormale"/>
    <w:uiPriority w:val="39"/>
    <w:rsid w:val="00D53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D5334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D5334E"/>
  </w:style>
  <w:style w:type="paragraph" w:styleId="Pidipagina">
    <w:name w:val="footer"/>
    <w:basedOn w:val="Normale"/>
    <w:link w:val="PidipaginaCarattere"/>
    <w:uiPriority w:val="99"/>
    <w:unhideWhenUsed/>
    <w:rsid w:val="00D5334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5334E"/>
  </w:style>
  <w:style w:type="paragraph" w:styleId="Paragrafoelenco">
    <w:name w:val="List Paragraph"/>
    <w:basedOn w:val="Normale"/>
    <w:uiPriority w:val="34"/>
    <w:qFormat/>
    <w:rsid w:val="002A21FF"/>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p3wcjIB+TE2TcNXVHyDmDCm1qw==">CgMxLjA4AHIhMU5MR051VjJUV2xIX2dXZDhDT3dOOWg3TGlRMHBiM25Q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614</Words>
  <Characters>3500</Characters>
  <Application>Microsoft Office Word</Application>
  <DocSecurity>0</DocSecurity>
  <Lines>29</Lines>
  <Paragraphs>8</Paragraphs>
  <ScaleCrop>false</ScaleCrop>
  <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samuele</dc:creator>
  <cp:lastModifiedBy>Matteo Dal Santo</cp:lastModifiedBy>
  <cp:revision>2</cp:revision>
  <dcterms:created xsi:type="dcterms:W3CDTF">2025-10-30T10:52:00Z</dcterms:created>
  <dcterms:modified xsi:type="dcterms:W3CDTF">2025-10-30T10:52:00Z</dcterms:modified>
</cp:coreProperties>
</file>